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E5E3" w14:textId="558F0D39" w:rsidR="00AE5460" w:rsidRDefault="558F0D39" w:rsidP="00AE5460">
      <w:pPr>
        <w:pStyle w:val="Title"/>
        <w:rPr>
          <w:rFonts w:ascii="Tw Cen MT" w:hAnsi="Tw Cen MT"/>
          <w:szCs w:val="22"/>
        </w:rPr>
      </w:pPr>
      <w:r w:rsidRPr="558F0D39">
        <w:rPr>
          <w:rFonts w:ascii="Tw Cen MT" w:eastAsia="Tw Cen MT" w:hAnsi="Tw Cen MT" w:cs="Tw Cen MT"/>
        </w:rPr>
        <w:t>Undergraduate Assessment of Student Learning Report</w:t>
      </w:r>
    </w:p>
    <w:p w14:paraId="1A12EFD7" w14:textId="68B6E23C" w:rsidR="00735A26" w:rsidRPr="004B66CE" w:rsidRDefault="558F0D39" w:rsidP="00735A26">
      <w:pPr>
        <w:pStyle w:val="Title"/>
        <w:rPr>
          <w:rFonts w:ascii="Tw Cen MT" w:hAnsi="Tw Cen MT"/>
          <w:szCs w:val="22"/>
        </w:rPr>
      </w:pPr>
      <w:r w:rsidRPr="558F0D39">
        <w:rPr>
          <w:rFonts w:ascii="Tw Cen MT" w:eastAsia="Tw Cen MT" w:hAnsi="Tw Cen MT" w:cs="Tw Cen MT"/>
        </w:rPr>
        <w:t xml:space="preserve">Report for Academic Year: </w:t>
      </w:r>
      <w:r w:rsidR="005F1B57">
        <w:rPr>
          <w:rFonts w:ascii="Tw Cen MT" w:eastAsia="Tw Cen MT" w:hAnsi="Tw Cen MT" w:cs="Tw Cen MT"/>
        </w:rPr>
        <w:t>202</w:t>
      </w:r>
      <w:r w:rsidR="00E87810">
        <w:rPr>
          <w:rFonts w:ascii="Tw Cen MT" w:eastAsia="Tw Cen MT" w:hAnsi="Tw Cen MT" w:cs="Tw Cen MT"/>
        </w:rPr>
        <w:t>3</w:t>
      </w:r>
      <w:r w:rsidR="005F1B57">
        <w:rPr>
          <w:rFonts w:ascii="Tw Cen MT" w:eastAsia="Tw Cen MT" w:hAnsi="Tw Cen MT" w:cs="Tw Cen MT"/>
        </w:rPr>
        <w:t>-202</w:t>
      </w:r>
      <w:r w:rsidR="00E87810">
        <w:rPr>
          <w:rFonts w:ascii="Tw Cen MT" w:eastAsia="Tw Cen MT" w:hAnsi="Tw Cen MT" w:cs="Tw Cen MT"/>
        </w:rPr>
        <w:t>4</w:t>
      </w:r>
    </w:p>
    <w:p w14:paraId="43905534" w14:textId="77777777" w:rsidR="00B6118B" w:rsidRPr="004B66CE" w:rsidRDefault="00B6118B" w:rsidP="004B66CE">
      <w:pPr>
        <w:shd w:val="clear" w:color="auto" w:fill="C0C0C0"/>
        <w:ind w:left="-450"/>
        <w:jc w:val="center"/>
        <w:rPr>
          <w:rFonts w:ascii="Tw Cen MT" w:hAnsi="Tw Cen MT"/>
          <w:sz w:val="6"/>
          <w:szCs w:val="22"/>
        </w:rPr>
      </w:pPr>
    </w:p>
    <w:p w14:paraId="08617254" w14:textId="77777777" w:rsidR="00B6118B" w:rsidRPr="004B66CE" w:rsidRDefault="00B6118B">
      <w:pPr>
        <w:pStyle w:val="Header"/>
        <w:tabs>
          <w:tab w:val="clear" w:pos="4320"/>
          <w:tab w:val="clear" w:pos="8640"/>
        </w:tabs>
        <w:rPr>
          <w:rFonts w:ascii="Tw Cen MT" w:hAnsi="Tw Cen MT"/>
          <w:sz w:val="22"/>
          <w:szCs w:val="22"/>
        </w:rPr>
      </w:pPr>
    </w:p>
    <w:p w14:paraId="56D6BE0C" w14:textId="69C3A3B0" w:rsidR="00B6118B" w:rsidRPr="004B66CE" w:rsidRDefault="5A5FDA56" w:rsidP="5A5FDA56">
      <w:pPr>
        <w:pStyle w:val="Header"/>
        <w:ind w:left="-450"/>
        <w:rPr>
          <w:rFonts w:ascii="Tw Cen MT" w:hAnsi="Tw Cen MT"/>
          <w:szCs w:val="22"/>
        </w:rPr>
      </w:pPr>
      <w:r w:rsidRPr="5A5FDA56">
        <w:rPr>
          <w:rFonts w:ascii="Tw Cen MT" w:eastAsia="Tw Cen MT" w:hAnsi="Tw Cen MT" w:cs="Tw Cen MT"/>
          <w:sz w:val="28"/>
          <w:szCs w:val="28"/>
        </w:rPr>
        <w:t xml:space="preserve"> A.</w:t>
      </w:r>
      <w:r w:rsidRPr="5A5FDA56">
        <w:rPr>
          <w:rFonts w:ascii="Tw Cen MT" w:eastAsia="Tw Cen MT" w:hAnsi="Tw Cen MT" w:cs="Tw Cen MT"/>
          <w:b/>
          <w:bCs/>
          <w:sz w:val="28"/>
          <w:szCs w:val="28"/>
        </w:rPr>
        <w:t xml:space="preserve"> </w:t>
      </w:r>
      <w:r w:rsidRPr="5A5FDA56">
        <w:rPr>
          <w:rFonts w:ascii="Tw Cen MT" w:eastAsia="Tw Cen MT" w:hAnsi="Tw Cen MT" w:cs="Tw Cen MT"/>
          <w:b/>
          <w:bCs/>
          <w:sz w:val="28"/>
          <w:szCs w:val="28"/>
          <w:u w:val="single"/>
        </w:rPr>
        <w:t>Program Information</w:t>
      </w:r>
    </w:p>
    <w:p w14:paraId="6520AE77" w14:textId="62D90BD0" w:rsidR="00B6118B" w:rsidRPr="004B66CE" w:rsidRDefault="00B6118B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szCs w:val="22"/>
        </w:rPr>
        <w:t>Department:</w:t>
      </w:r>
      <w:r w:rsidR="005F1B57">
        <w:rPr>
          <w:rFonts w:ascii="Tw Cen MT" w:hAnsi="Tw Cen MT"/>
          <w:szCs w:val="22"/>
        </w:rPr>
        <w:t xml:space="preserve"> Sociology, Anthropology, and Social Work</w:t>
      </w:r>
      <w:r w:rsidRPr="004B66CE">
        <w:rPr>
          <w:rFonts w:ascii="Tw Cen MT" w:hAnsi="Tw Cen MT"/>
          <w:szCs w:val="22"/>
        </w:rPr>
        <w:tab/>
      </w:r>
    </w:p>
    <w:p w14:paraId="11CD5AE7" w14:textId="4FEAF6F3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iCs/>
          <w:szCs w:val="22"/>
        </w:rPr>
        <w:t>Program:</w:t>
      </w:r>
      <w:r w:rsidR="005F1B57">
        <w:rPr>
          <w:rFonts w:ascii="Tw Cen MT" w:hAnsi="Tw Cen MT"/>
          <w:iCs/>
          <w:szCs w:val="22"/>
        </w:rPr>
        <w:t xml:space="preserve"> </w:t>
      </w:r>
      <w:r w:rsidR="00E96D03">
        <w:rPr>
          <w:rFonts w:ascii="Tw Cen MT" w:hAnsi="Tw Cen MT"/>
          <w:iCs/>
          <w:szCs w:val="22"/>
        </w:rPr>
        <w:t>Addiction Counseling</w:t>
      </w:r>
      <w:r w:rsidRPr="004B66CE">
        <w:rPr>
          <w:rFonts w:ascii="Tw Cen MT" w:hAnsi="Tw Cen MT"/>
          <w:iCs/>
          <w:szCs w:val="22"/>
        </w:rPr>
        <w:tab/>
      </w:r>
    </w:p>
    <w:p w14:paraId="3AD550D9" w14:textId="0D112B9C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iCs/>
          <w:szCs w:val="22"/>
        </w:rPr>
        <w:t xml:space="preserve">Contact Name: </w:t>
      </w:r>
      <w:r w:rsidR="005F1B57">
        <w:rPr>
          <w:rFonts w:ascii="Tw Cen MT" w:hAnsi="Tw Cen MT"/>
          <w:iCs/>
          <w:szCs w:val="22"/>
        </w:rPr>
        <w:t>Cheryl</w:t>
      </w:r>
      <w:r w:rsidR="00D70162">
        <w:rPr>
          <w:rFonts w:ascii="Tw Cen MT" w:hAnsi="Tw Cen MT"/>
          <w:iCs/>
          <w:szCs w:val="22"/>
        </w:rPr>
        <w:t xml:space="preserve"> Calhoun</w:t>
      </w:r>
      <w:r w:rsidRPr="004B66CE">
        <w:rPr>
          <w:rFonts w:ascii="Tw Cen MT" w:hAnsi="Tw Cen MT"/>
          <w:iCs/>
          <w:szCs w:val="22"/>
        </w:rPr>
        <w:tab/>
      </w:r>
    </w:p>
    <w:p w14:paraId="4F46F9C7" w14:textId="47ABA5DD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iCs/>
          <w:szCs w:val="22"/>
        </w:rPr>
        <w:t xml:space="preserve">Contact Email: </w:t>
      </w:r>
      <w:hyperlink r:id="rId7" w:history="1">
        <w:r w:rsidR="00E96D03" w:rsidRPr="00015E1A">
          <w:rPr>
            <w:rStyle w:val="Hyperlink"/>
            <w:rFonts w:ascii="Tw Cen MT" w:hAnsi="Tw Cen MT"/>
            <w:iCs/>
            <w:szCs w:val="22"/>
          </w:rPr>
          <w:t>cherylcalhoun@ksu.edu</w:t>
        </w:r>
      </w:hyperlink>
      <w:r w:rsidRPr="004B66CE">
        <w:rPr>
          <w:rFonts w:ascii="Tw Cen MT" w:hAnsi="Tw Cen MT"/>
          <w:iCs/>
          <w:szCs w:val="22"/>
        </w:rPr>
        <w:tab/>
      </w:r>
    </w:p>
    <w:p w14:paraId="056DBC23" w14:textId="0E221EB7" w:rsidR="00CE3F1D" w:rsidRDefault="00735A26" w:rsidP="00194AF3">
      <w:pPr>
        <w:tabs>
          <w:tab w:val="left" w:pos="3510"/>
        </w:tabs>
        <w:ind w:left="-270"/>
        <w:rPr>
          <w:rFonts w:ascii="Tw Cen MT" w:eastAsia="Tw Cen MT" w:hAnsi="Tw Cen MT" w:cs="Tw Cen MT"/>
        </w:rPr>
      </w:pPr>
      <w:r w:rsidRPr="00EB29E4">
        <w:rPr>
          <w:rFonts w:ascii="Tw Cen MT" w:eastAsia="Tw Cen MT" w:hAnsi="Tw Cen MT" w:cs="Tw Cen MT"/>
        </w:rPr>
        <w:t xml:space="preserve">Program assessment website: </w:t>
      </w:r>
      <w:hyperlink r:id="rId8" w:history="1">
        <w:r w:rsidR="00EB29E4" w:rsidRPr="00EB29E4">
          <w:rPr>
            <w:rStyle w:val="Hyperlink"/>
            <w:rFonts w:ascii="Tw Cen MT" w:eastAsia="Tw Cen MT" w:hAnsi="Tw Cen MT" w:cs="Tw Cen MT"/>
          </w:rPr>
          <w:t>https://www.k-state.edu/sasw/addiction-counseling/academics/</w:t>
        </w:r>
      </w:hyperlink>
      <w:r w:rsidR="00783DA8">
        <w:rPr>
          <w:rFonts w:ascii="Tw Cen MT" w:eastAsia="Tw Cen MT" w:hAnsi="Tw Cen MT" w:cs="Tw Cen MT"/>
        </w:rPr>
        <w:t xml:space="preserve"> </w:t>
      </w:r>
    </w:p>
    <w:p w14:paraId="40985631" w14:textId="77777777" w:rsidR="00194AF3" w:rsidRPr="004B66CE" w:rsidRDefault="00194AF3" w:rsidP="00194AF3">
      <w:pPr>
        <w:rPr>
          <w:rFonts w:ascii="Tw Cen MT" w:hAnsi="Tw Cen MT"/>
          <w:sz w:val="22"/>
          <w:szCs w:val="22"/>
        </w:rPr>
      </w:pPr>
    </w:p>
    <w:p w14:paraId="2F2F726A" w14:textId="77777777" w:rsidR="00194AF3" w:rsidRPr="004B66CE" w:rsidRDefault="00194AF3" w:rsidP="00194AF3">
      <w:pPr>
        <w:pStyle w:val="Header"/>
        <w:ind w:left="-450"/>
        <w:rPr>
          <w:rFonts w:ascii="Tw Cen MT" w:hAnsi="Tw Cen MT"/>
          <w:szCs w:val="22"/>
        </w:rPr>
      </w:pPr>
      <w:r w:rsidRPr="5A5FDA56">
        <w:rPr>
          <w:rFonts w:ascii="Tw Cen MT" w:eastAsia="Tw Cen MT" w:hAnsi="Tw Cen MT" w:cs="Tw Cen MT"/>
          <w:sz w:val="28"/>
          <w:szCs w:val="28"/>
        </w:rPr>
        <w:t xml:space="preserve">B. </w:t>
      </w:r>
      <w:r w:rsidRPr="5A5FDA56">
        <w:rPr>
          <w:rStyle w:val="Emphasis"/>
          <w:rFonts w:ascii="Tw Cen MT" w:eastAsia="Tw Cen MT" w:hAnsi="Tw Cen MT" w:cs="Tw Cen MT"/>
          <w:b/>
          <w:bCs/>
          <w:i w:val="0"/>
          <w:iCs w:val="0"/>
          <w:sz w:val="28"/>
          <w:szCs w:val="28"/>
          <w:u w:val="single"/>
        </w:rPr>
        <w:t>Outcome Reporting</w:t>
      </w:r>
    </w:p>
    <w:p w14:paraId="4A451377" w14:textId="77777777" w:rsidR="00194AF3" w:rsidRDefault="00194AF3" w:rsidP="00194AF3">
      <w:pPr>
        <w:rPr>
          <w:rFonts w:ascii="Tw Cen MT" w:eastAsia="Tw Cen MT" w:hAnsi="Tw Cen MT" w:cs="Tw Cen MT"/>
          <w:b/>
          <w:bCs/>
        </w:rPr>
      </w:pPr>
      <w:r>
        <w:rPr>
          <w:rFonts w:ascii="Tw Cen MT" w:eastAsia="Tw Cen MT" w:hAnsi="Tw Cen MT" w:cs="Tw Cen MT"/>
          <w:b/>
          <w:bCs/>
        </w:rPr>
        <w:t xml:space="preserve">Visible on </w:t>
      </w:r>
      <w:proofErr w:type="spellStart"/>
      <w:r>
        <w:rPr>
          <w:rFonts w:ascii="Tw Cen MT" w:eastAsia="Tw Cen MT" w:hAnsi="Tw Cen MT" w:cs="Tw Cen MT"/>
          <w:b/>
          <w:bCs/>
        </w:rPr>
        <w:t>PowerBI</w:t>
      </w:r>
      <w:proofErr w:type="spellEnd"/>
      <w:r>
        <w:rPr>
          <w:rFonts w:ascii="Tw Cen MT" w:eastAsia="Tw Cen MT" w:hAnsi="Tw Cen MT" w:cs="Tw Cen MT"/>
          <w:b/>
          <w:bCs/>
        </w:rPr>
        <w:t xml:space="preserve"> dashboards. No additional reported needed.</w:t>
      </w:r>
    </w:p>
    <w:p w14:paraId="5FDD1C6C" w14:textId="77777777" w:rsidR="00194AF3" w:rsidRPr="00194AF3" w:rsidRDefault="00194AF3" w:rsidP="00194AF3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</w:p>
    <w:p w14:paraId="4CFFEF0B" w14:textId="022D6F30" w:rsidR="00017716" w:rsidRPr="004B66CE" w:rsidRDefault="00E63084" w:rsidP="5A5FDA56">
      <w:pPr>
        <w:pStyle w:val="Header"/>
        <w:ind w:left="-450"/>
        <w:rPr>
          <w:rFonts w:ascii="Tw Cen MT" w:hAnsi="Tw Cen MT"/>
          <w:sz w:val="22"/>
          <w:szCs w:val="22"/>
        </w:rPr>
      </w:pPr>
      <w:r>
        <w:rPr>
          <w:rFonts w:ascii="Tw Cen MT" w:eastAsia="Tw Cen MT" w:hAnsi="Tw Cen MT" w:cs="Tw Cen MT"/>
          <w:sz w:val="28"/>
          <w:szCs w:val="28"/>
        </w:rPr>
        <w:t>C</w:t>
      </w:r>
      <w:r w:rsidR="5A5FDA56" w:rsidRPr="5A5FDA56">
        <w:rPr>
          <w:rFonts w:ascii="Tw Cen MT" w:eastAsia="Tw Cen MT" w:hAnsi="Tw Cen MT" w:cs="Tw Cen MT"/>
          <w:sz w:val="28"/>
          <w:szCs w:val="28"/>
        </w:rPr>
        <w:t xml:space="preserve">. </w:t>
      </w:r>
      <w:r w:rsidR="5A5FDA56" w:rsidRPr="5A5FDA56">
        <w:rPr>
          <w:rFonts w:ascii="Tw Cen MT" w:eastAsia="Tw Cen MT" w:hAnsi="Tw Cen MT" w:cs="Tw Cen MT"/>
          <w:b/>
          <w:bCs/>
          <w:sz w:val="28"/>
          <w:szCs w:val="28"/>
          <w:u w:val="single"/>
        </w:rPr>
        <w:t>Program Self Review</w:t>
      </w:r>
    </w:p>
    <w:p w14:paraId="1D526E97" w14:textId="77777777" w:rsidR="00017716" w:rsidRPr="009F1D98" w:rsidRDefault="00017716" w:rsidP="004B66CE">
      <w:pPr>
        <w:ind w:left="-270"/>
        <w:rPr>
          <w:rFonts w:ascii="Tw Cen MT" w:hAnsi="Tw Cen MT"/>
          <w:b/>
          <w:szCs w:val="22"/>
        </w:rPr>
      </w:pPr>
      <w:r w:rsidRPr="009F1D98">
        <w:rPr>
          <w:rFonts w:ascii="Tw Cen MT" w:hAnsi="Tw Cen MT"/>
          <w:b/>
          <w:szCs w:val="22"/>
        </w:rPr>
        <w:t>Faculty Review of Annual Assessment Data</w:t>
      </w:r>
      <w:r w:rsidR="00FF7BCB" w:rsidRPr="009F1D98">
        <w:rPr>
          <w:rFonts w:ascii="Tw Cen MT" w:hAnsi="Tw Cen MT"/>
          <w:b/>
          <w:szCs w:val="22"/>
        </w:rPr>
        <w:t xml:space="preserve"> and Process</w:t>
      </w:r>
    </w:p>
    <w:p w14:paraId="6B1303A9" w14:textId="77777777" w:rsidR="00905EA1" w:rsidRDefault="00905EA1" w:rsidP="00905EA1">
      <w:pPr>
        <w:rPr>
          <w:rFonts w:ascii="Tw Cen MT" w:eastAsia="Tw Cen MT" w:hAnsi="Tw Cen MT" w:cs="Tw Cen MT"/>
        </w:rPr>
      </w:pPr>
      <w:r w:rsidRPr="009F1D98">
        <w:rPr>
          <w:rFonts w:ascii="Tw Cen MT" w:eastAsia="Tw Cen MT" w:hAnsi="Tw Cen MT" w:cs="Tw Cen MT"/>
        </w:rPr>
        <w:t>Describe the process through which faculty discussed the results and what was uncovered about student learning that can guide instructional or curricular decisions in your program. Then describe any program/instructional adjustments resulting from the findings.</w:t>
      </w:r>
      <w:r>
        <w:rPr>
          <w:rFonts w:ascii="Tw Cen MT" w:eastAsia="Tw Cen MT" w:hAnsi="Tw Cen MT" w:cs="Tw Cen MT"/>
        </w:rPr>
        <w:t xml:space="preserve"> </w:t>
      </w:r>
    </w:p>
    <w:p w14:paraId="3B66B813" w14:textId="77777777" w:rsidR="00C9568E" w:rsidRDefault="00C9568E" w:rsidP="00905EA1">
      <w:pPr>
        <w:rPr>
          <w:rFonts w:ascii="Tw Cen MT" w:eastAsia="Tw Cen MT" w:hAnsi="Tw Cen MT" w:cs="Tw Cen MT"/>
        </w:rPr>
      </w:pPr>
    </w:p>
    <w:p w14:paraId="49AB31C5" w14:textId="3E542650" w:rsidR="003158C5" w:rsidRPr="005E3FCB" w:rsidRDefault="00C9568E" w:rsidP="00EE55A4">
      <w:pPr>
        <w:rPr>
          <w:rFonts w:ascii="Tw Cen MT" w:hAnsi="Tw Cen MT"/>
        </w:rPr>
      </w:pPr>
      <w:r w:rsidRPr="005E3FCB">
        <w:rPr>
          <w:rFonts w:ascii="Tw Cen MT" w:hAnsi="Tw Cen MT"/>
        </w:rPr>
        <w:t xml:space="preserve">The K-State </w:t>
      </w:r>
      <w:r w:rsidR="00850D52" w:rsidRPr="005E3FCB">
        <w:rPr>
          <w:rFonts w:ascii="Tw Cen MT" w:hAnsi="Tw Cen MT"/>
        </w:rPr>
        <w:t>Addiction Counseling Program started collecting assessment data in the Spring of 2024</w:t>
      </w:r>
      <w:r w:rsidR="003014A2" w:rsidRPr="005E3FCB">
        <w:rPr>
          <w:rFonts w:ascii="Tw Cen MT" w:hAnsi="Tw Cen MT"/>
        </w:rPr>
        <w:t xml:space="preserve">. As such, the purpose of this preliminary report was to </w:t>
      </w:r>
      <w:r w:rsidR="00872CE5" w:rsidRPr="005E3FCB">
        <w:rPr>
          <w:rFonts w:ascii="Tw Cen MT" w:hAnsi="Tw Cen MT"/>
        </w:rPr>
        <w:t>identify what – if any – changes needed to be made regarding the</w:t>
      </w:r>
      <w:r w:rsidR="00B81562" w:rsidRPr="005E3FCB">
        <w:rPr>
          <w:rFonts w:ascii="Tw Cen MT" w:hAnsi="Tw Cen MT"/>
        </w:rPr>
        <w:t xml:space="preserve"> only</w:t>
      </w:r>
      <w:r w:rsidR="00872CE5" w:rsidRPr="005E3FCB">
        <w:rPr>
          <w:rFonts w:ascii="Tw Cen MT" w:hAnsi="Tw Cen MT"/>
        </w:rPr>
        <w:t xml:space="preserve"> two ADC courses offered</w:t>
      </w:r>
      <w:r w:rsidR="00D50F5E" w:rsidRPr="005E3FCB">
        <w:rPr>
          <w:rFonts w:ascii="Tw Cen MT" w:hAnsi="Tw Cen MT"/>
        </w:rPr>
        <w:t xml:space="preserve"> in the Spring of 2024: ADC 325 Professional, Ethical and Legal Issues in Counseling and ADC</w:t>
      </w:r>
      <w:r w:rsidR="00CC7207" w:rsidRPr="005E3FCB">
        <w:rPr>
          <w:rFonts w:ascii="Tw Cen MT" w:hAnsi="Tw Cen MT"/>
        </w:rPr>
        <w:t xml:space="preserve"> 561/SOCWK 561 Methods of Individual Counseling. </w:t>
      </w:r>
      <w:r w:rsidR="00EE55A4" w:rsidRPr="005E3FCB">
        <w:rPr>
          <w:rFonts w:ascii="Tw Cen MT" w:hAnsi="Tw Cen MT"/>
        </w:rPr>
        <w:t xml:space="preserve">The Addiction Counseling Program uses both K-State Office of Assessment’s annual report and our own internal findings to discuss outcomes and potential program needs. </w:t>
      </w:r>
      <w:r w:rsidR="008430BD" w:rsidRPr="005E3FCB">
        <w:rPr>
          <w:rFonts w:ascii="Tw Cen MT" w:hAnsi="Tw Cen MT"/>
        </w:rPr>
        <w:t xml:space="preserve">Student </w:t>
      </w:r>
      <w:r w:rsidR="00826106" w:rsidRPr="005E3FCB">
        <w:rPr>
          <w:rFonts w:ascii="Tw Cen MT" w:hAnsi="Tw Cen MT"/>
        </w:rPr>
        <w:t>L</w:t>
      </w:r>
      <w:r w:rsidR="008430BD" w:rsidRPr="005E3FCB">
        <w:rPr>
          <w:rFonts w:ascii="Tw Cen MT" w:hAnsi="Tw Cen MT"/>
        </w:rPr>
        <w:t xml:space="preserve">earning </w:t>
      </w:r>
      <w:r w:rsidR="00826106" w:rsidRPr="005E3FCB">
        <w:rPr>
          <w:rFonts w:ascii="Tw Cen MT" w:hAnsi="Tw Cen MT"/>
        </w:rPr>
        <w:t>O</w:t>
      </w:r>
      <w:r w:rsidR="008430BD" w:rsidRPr="005E3FCB">
        <w:rPr>
          <w:rFonts w:ascii="Tw Cen MT" w:hAnsi="Tw Cen MT"/>
        </w:rPr>
        <w:t>bjectives</w:t>
      </w:r>
      <w:r w:rsidR="00826106" w:rsidRPr="005E3FCB">
        <w:rPr>
          <w:rFonts w:ascii="Tw Cen MT" w:hAnsi="Tw Cen MT"/>
        </w:rPr>
        <w:t xml:space="preserve"> are re-evaluated at the start of each semester t</w:t>
      </w:r>
      <w:r w:rsidR="00E229FD" w:rsidRPr="005E3FCB">
        <w:rPr>
          <w:rFonts w:ascii="Tw Cen MT" w:hAnsi="Tw Cen MT"/>
        </w:rPr>
        <w:t xml:space="preserve">o verify they are </w:t>
      </w:r>
      <w:r w:rsidR="008430BD" w:rsidRPr="005E3FCB">
        <w:rPr>
          <w:rFonts w:ascii="Tw Cen MT" w:hAnsi="Tw Cen MT"/>
        </w:rPr>
        <w:t xml:space="preserve">clearly denoted in </w:t>
      </w:r>
      <w:r w:rsidR="00C1290F" w:rsidRPr="005E3FCB">
        <w:rPr>
          <w:rFonts w:ascii="Tw Cen MT" w:hAnsi="Tw Cen MT"/>
        </w:rPr>
        <w:t xml:space="preserve">key courses and accompanying </w:t>
      </w:r>
      <w:r w:rsidR="008430BD" w:rsidRPr="005E3FCB">
        <w:rPr>
          <w:rFonts w:ascii="Tw Cen MT" w:hAnsi="Tw Cen MT"/>
        </w:rPr>
        <w:t>course syllabi.</w:t>
      </w:r>
      <w:r w:rsidR="00C1290F" w:rsidRPr="005E3FCB">
        <w:rPr>
          <w:rFonts w:ascii="Tw Cen MT" w:hAnsi="Tw Cen MT"/>
        </w:rPr>
        <w:t xml:space="preserve"> </w:t>
      </w:r>
      <w:r w:rsidR="00EE55A4" w:rsidRPr="005E3FCB">
        <w:rPr>
          <w:rFonts w:ascii="Tw Cen MT" w:hAnsi="Tw Cen MT"/>
        </w:rPr>
        <w:t xml:space="preserve">The program </w:t>
      </w:r>
      <w:r w:rsidR="005D34C2" w:rsidRPr="005E3FCB">
        <w:rPr>
          <w:rFonts w:ascii="Tw Cen MT" w:hAnsi="Tw Cen MT"/>
        </w:rPr>
        <w:t xml:space="preserve">also participates in </w:t>
      </w:r>
      <w:r w:rsidR="00EE55A4" w:rsidRPr="005E3FCB">
        <w:rPr>
          <w:rFonts w:ascii="Tw Cen MT" w:hAnsi="Tw Cen MT"/>
        </w:rPr>
        <w:t>bi-weekly meetings</w:t>
      </w:r>
      <w:r w:rsidR="005D34C2" w:rsidRPr="005E3FCB">
        <w:rPr>
          <w:rFonts w:ascii="Tw Cen MT" w:hAnsi="Tw Cen MT"/>
        </w:rPr>
        <w:t xml:space="preserve"> with the Social Work Program</w:t>
      </w:r>
      <w:r w:rsidR="00EE55A4" w:rsidRPr="005E3FCB">
        <w:rPr>
          <w:rFonts w:ascii="Tw Cen MT" w:hAnsi="Tw Cen MT"/>
        </w:rPr>
        <w:t xml:space="preserve"> to address general programmatic needs</w:t>
      </w:r>
      <w:r w:rsidR="003158C5" w:rsidRPr="005E3FCB">
        <w:rPr>
          <w:rFonts w:ascii="Tw Cen MT" w:hAnsi="Tw Cen MT"/>
        </w:rPr>
        <w:t>, including assessment findings</w:t>
      </w:r>
      <w:r w:rsidR="003F5797" w:rsidRPr="005E3FCB">
        <w:rPr>
          <w:rFonts w:ascii="Tw Cen MT" w:hAnsi="Tw Cen MT"/>
        </w:rPr>
        <w:t xml:space="preserve"> for both programs</w:t>
      </w:r>
      <w:r w:rsidR="003158C5" w:rsidRPr="005E3FCB">
        <w:rPr>
          <w:rFonts w:ascii="Tw Cen MT" w:hAnsi="Tw Cen MT"/>
        </w:rPr>
        <w:t>.</w:t>
      </w:r>
      <w:r w:rsidR="00773608" w:rsidRPr="005E3FCB">
        <w:rPr>
          <w:rFonts w:ascii="Tw Cen MT" w:hAnsi="Tw Cen MT"/>
        </w:rPr>
        <w:t xml:space="preserve"> A significant block of assessment</w:t>
      </w:r>
      <w:r w:rsidR="00FD4BBD" w:rsidRPr="005E3FCB">
        <w:rPr>
          <w:rFonts w:ascii="Tw Cen MT" w:hAnsi="Tw Cen MT"/>
        </w:rPr>
        <w:t>-</w:t>
      </w:r>
      <w:r w:rsidR="00773608" w:rsidRPr="005E3FCB">
        <w:rPr>
          <w:rFonts w:ascii="Tw Cen MT" w:hAnsi="Tw Cen MT"/>
        </w:rPr>
        <w:t>focused meetings is used to review the previous year’s assessment outcomes, the university assessment report, data from field placement, and/or student feedback on their preparedness for field. The faculty reviews and discusses assessment outcomes and makes appropriate modifications to classroom assignments or other assessment tools.</w:t>
      </w:r>
    </w:p>
    <w:p w14:paraId="3415E257" w14:textId="77777777" w:rsidR="003158C5" w:rsidRPr="005E3FCB" w:rsidRDefault="003158C5" w:rsidP="00EE55A4">
      <w:pPr>
        <w:rPr>
          <w:rFonts w:ascii="Tw Cen MT" w:hAnsi="Tw Cen MT"/>
        </w:rPr>
      </w:pPr>
    </w:p>
    <w:p w14:paraId="0AB111B9" w14:textId="6515BEA5" w:rsidR="003D0E0A" w:rsidRPr="005E3FCB" w:rsidRDefault="000601B8" w:rsidP="000601B8">
      <w:pPr>
        <w:rPr>
          <w:rFonts w:ascii="Tw Cen MT" w:hAnsi="Tw Cen MT"/>
        </w:rPr>
      </w:pPr>
      <w:r w:rsidRPr="005E3FCB">
        <w:rPr>
          <w:rFonts w:ascii="Tw Cen MT" w:hAnsi="Tw Cen MT"/>
        </w:rPr>
        <w:t>Our 202</w:t>
      </w:r>
      <w:r w:rsidR="00A66F07" w:rsidRPr="005E3FCB">
        <w:rPr>
          <w:rFonts w:ascii="Tw Cen MT" w:hAnsi="Tw Cen MT"/>
        </w:rPr>
        <w:t>3</w:t>
      </w:r>
      <w:r w:rsidRPr="005E3FCB">
        <w:rPr>
          <w:rFonts w:ascii="Tw Cen MT" w:hAnsi="Tw Cen MT"/>
        </w:rPr>
        <w:t>-202</w:t>
      </w:r>
      <w:r w:rsidR="00A66F07" w:rsidRPr="005E3FCB">
        <w:rPr>
          <w:rFonts w:ascii="Tw Cen MT" w:hAnsi="Tw Cen MT"/>
        </w:rPr>
        <w:t>4</w:t>
      </w:r>
      <w:r w:rsidRPr="005E3FCB">
        <w:rPr>
          <w:rFonts w:ascii="Tw Cen MT" w:hAnsi="Tw Cen MT"/>
        </w:rPr>
        <w:t xml:space="preserve"> assessment data revealed we accomplished our goal of a minimum of 90% of </w:t>
      </w:r>
      <w:r w:rsidR="00A66F07" w:rsidRPr="005E3FCB">
        <w:rPr>
          <w:rFonts w:ascii="Tw Cen MT" w:hAnsi="Tw Cen MT"/>
        </w:rPr>
        <w:t>addiction counseling students</w:t>
      </w:r>
      <w:r w:rsidRPr="005E3FCB">
        <w:rPr>
          <w:rFonts w:ascii="Tw Cen MT" w:hAnsi="Tw Cen MT"/>
        </w:rPr>
        <w:t xml:space="preserve"> meeting or exceeding expectations for </w:t>
      </w:r>
      <w:r w:rsidR="00494026" w:rsidRPr="005E3FCB">
        <w:rPr>
          <w:rFonts w:ascii="Tw Cen MT" w:hAnsi="Tw Cen MT"/>
        </w:rPr>
        <w:t xml:space="preserve">two </w:t>
      </w:r>
      <w:r w:rsidR="004E0EF0" w:rsidRPr="005E3FCB">
        <w:rPr>
          <w:rFonts w:ascii="Tw Cen MT" w:hAnsi="Tw Cen MT"/>
        </w:rPr>
        <w:t>of the program’s five SLOs. 9</w:t>
      </w:r>
      <w:r w:rsidR="00027CC8" w:rsidRPr="005E3FCB">
        <w:rPr>
          <w:rFonts w:ascii="Tw Cen MT" w:hAnsi="Tw Cen MT"/>
        </w:rPr>
        <w:t>2</w:t>
      </w:r>
      <w:r w:rsidR="004E0EF0" w:rsidRPr="005E3FCB">
        <w:rPr>
          <w:rFonts w:ascii="Tw Cen MT" w:hAnsi="Tw Cen MT"/>
        </w:rPr>
        <w:t>% of students met o</w:t>
      </w:r>
      <w:r w:rsidR="00D57EA3" w:rsidRPr="005E3FCB">
        <w:rPr>
          <w:rFonts w:ascii="Tw Cen MT" w:hAnsi="Tw Cen MT"/>
        </w:rPr>
        <w:t xml:space="preserve">r exceeded expectations </w:t>
      </w:r>
      <w:r w:rsidR="00315DDC" w:rsidRPr="005E3FCB">
        <w:rPr>
          <w:rFonts w:ascii="Tw Cen MT" w:hAnsi="Tw Cen MT"/>
        </w:rPr>
        <w:t xml:space="preserve">set forth for the Diversity SLO, while 98% of students </w:t>
      </w:r>
      <w:r w:rsidR="002B264B" w:rsidRPr="005E3FCB">
        <w:rPr>
          <w:rFonts w:ascii="Tw Cen MT" w:hAnsi="Tw Cen MT"/>
        </w:rPr>
        <w:t xml:space="preserve">met or exceeded expectations in relation to the </w:t>
      </w:r>
      <w:r w:rsidR="00027CC8" w:rsidRPr="005E3FCB">
        <w:rPr>
          <w:rFonts w:ascii="Tw Cen MT" w:hAnsi="Tw Cen MT"/>
        </w:rPr>
        <w:t xml:space="preserve">Academic and </w:t>
      </w:r>
      <w:r w:rsidR="002B264B" w:rsidRPr="005E3FCB">
        <w:rPr>
          <w:rFonts w:ascii="Tw Cen MT" w:hAnsi="Tw Cen MT"/>
        </w:rPr>
        <w:t>Professional</w:t>
      </w:r>
      <w:r w:rsidR="00027CC8" w:rsidRPr="005E3FCB">
        <w:rPr>
          <w:rFonts w:ascii="Tw Cen MT" w:hAnsi="Tw Cen MT"/>
        </w:rPr>
        <w:t xml:space="preserve"> Integrity SLO.</w:t>
      </w:r>
    </w:p>
    <w:p w14:paraId="2298105B" w14:textId="77777777" w:rsidR="00027CC8" w:rsidRDefault="00027CC8" w:rsidP="00027CC8">
      <w:pPr>
        <w:pStyle w:val="Header"/>
        <w:ind w:left="-450"/>
        <w:rPr>
          <w:rFonts w:ascii="Tw Cen MT" w:hAnsi="Tw Cen MT"/>
          <w:b/>
          <w:bCs/>
          <w:szCs w:val="22"/>
        </w:rPr>
      </w:pPr>
    </w:p>
    <w:p w14:paraId="26A43DBB" w14:textId="46CC319C" w:rsidR="00027CC8" w:rsidRPr="009C0E6F" w:rsidRDefault="00027CC8" w:rsidP="00027CC8">
      <w:pPr>
        <w:pStyle w:val="Header"/>
        <w:ind w:left="-450"/>
        <w:rPr>
          <w:rFonts w:ascii="Tw Cen MT" w:hAnsi="Tw Cen MT"/>
          <w:b/>
          <w:bCs/>
          <w:szCs w:val="22"/>
        </w:rPr>
      </w:pPr>
      <w:r w:rsidRPr="009C0E6F">
        <w:rPr>
          <w:rFonts w:ascii="Tw Cen MT" w:hAnsi="Tw Cen MT"/>
          <w:b/>
          <w:bCs/>
          <w:szCs w:val="22"/>
        </w:rPr>
        <w:t xml:space="preserve">Student Mastery Outcome Percentages by </w:t>
      </w:r>
      <w:r>
        <w:rPr>
          <w:rFonts w:ascii="Tw Cen MT" w:hAnsi="Tw Cen MT"/>
          <w:b/>
          <w:bCs/>
          <w:szCs w:val="22"/>
        </w:rPr>
        <w:t>Student Learning Objective</w:t>
      </w:r>
    </w:p>
    <w:p w14:paraId="05E0EDA7" w14:textId="77777777" w:rsidR="00027CC8" w:rsidRDefault="00027CC8" w:rsidP="00027CC8">
      <w:pPr>
        <w:pStyle w:val="Header"/>
        <w:ind w:left="-450"/>
        <w:rPr>
          <w:rFonts w:ascii="Tw Cen MT" w:hAnsi="Tw Cen MT"/>
          <w:bCs/>
          <w:szCs w:val="22"/>
        </w:rPr>
      </w:pPr>
      <w:r w:rsidRPr="009C0E6F">
        <w:rPr>
          <w:rFonts w:ascii="Tw Cen MT" w:hAnsi="Tw Cen MT"/>
          <w:bCs/>
          <w:szCs w:val="22"/>
        </w:rPr>
        <w:t>*Mastery = Exceed Expectations or Meets Expectations</w:t>
      </w:r>
    </w:p>
    <w:p w14:paraId="1126E1EB" w14:textId="77777777" w:rsidR="00027CC8" w:rsidRDefault="00027CC8" w:rsidP="00027CC8">
      <w:pPr>
        <w:pStyle w:val="Header"/>
        <w:ind w:left="-450"/>
        <w:rPr>
          <w:rFonts w:ascii="Tw Cen MT" w:hAnsi="Tw Cen MT"/>
          <w:bCs/>
          <w:szCs w:val="22"/>
        </w:rPr>
      </w:pPr>
      <w:r>
        <w:rPr>
          <w:noProof/>
        </w:rPr>
        <w:lastRenderedPageBreak/>
        <w:drawing>
          <wp:inline distT="0" distB="0" distL="0" distR="0" wp14:anchorId="501129C2" wp14:editId="7614BC16">
            <wp:extent cx="6273165" cy="2470150"/>
            <wp:effectExtent l="0" t="0" r="13335" b="6350"/>
            <wp:docPr id="19612018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71E715-575A-1611-70A9-532E153AE1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B5AE12" w14:textId="77777777" w:rsidR="00027CC8" w:rsidRDefault="00027CC8" w:rsidP="00027CC8"/>
    <w:p w14:paraId="23E396C6" w14:textId="77777777" w:rsidR="00027CC8" w:rsidRDefault="00027CC8" w:rsidP="00027CC8">
      <w:pPr>
        <w:pStyle w:val="Header"/>
        <w:ind w:left="-450"/>
        <w:rPr>
          <w:rFonts w:ascii="Tw Cen MT" w:hAnsi="Tw Cen MT"/>
          <w:b/>
          <w:bCs/>
          <w:szCs w:val="22"/>
        </w:rPr>
      </w:pPr>
      <w:r w:rsidRPr="00F45E1C">
        <w:rPr>
          <w:rFonts w:ascii="Tw Cen MT" w:hAnsi="Tw Cen MT"/>
          <w:b/>
          <w:bCs/>
          <w:szCs w:val="22"/>
        </w:rPr>
        <w:t>Student</w:t>
      </w:r>
      <w:r>
        <w:rPr>
          <w:rFonts w:ascii="Tw Cen MT" w:hAnsi="Tw Cen MT"/>
          <w:b/>
          <w:bCs/>
          <w:szCs w:val="22"/>
        </w:rPr>
        <w:t xml:space="preserve"> Learning</w:t>
      </w:r>
      <w:r w:rsidRPr="00F45E1C">
        <w:rPr>
          <w:rFonts w:ascii="Tw Cen MT" w:hAnsi="Tw Cen MT"/>
          <w:b/>
          <w:bCs/>
          <w:szCs w:val="22"/>
        </w:rPr>
        <w:t xml:space="preserve"> </w:t>
      </w:r>
      <w:r>
        <w:rPr>
          <w:rFonts w:ascii="Tw Cen MT" w:hAnsi="Tw Cen MT"/>
          <w:b/>
          <w:bCs/>
          <w:szCs w:val="22"/>
        </w:rPr>
        <w:t xml:space="preserve">Objective </w:t>
      </w:r>
      <w:r w:rsidRPr="00F45E1C">
        <w:rPr>
          <w:rFonts w:ascii="Tw Cen MT" w:hAnsi="Tw Cen MT"/>
          <w:b/>
          <w:bCs/>
          <w:szCs w:val="22"/>
        </w:rPr>
        <w:t>Outcome Percentages by Criteria</w:t>
      </w:r>
    </w:p>
    <w:p w14:paraId="6D1BE02D" w14:textId="77777777" w:rsidR="00027CC8" w:rsidRDefault="00027CC8" w:rsidP="00027CC8">
      <w:pPr>
        <w:pStyle w:val="Header"/>
        <w:ind w:left="-450"/>
        <w:rPr>
          <w:rFonts w:ascii="Tw Cen MT" w:hAnsi="Tw Cen MT"/>
          <w:b/>
          <w:bCs/>
          <w:szCs w:val="22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3276"/>
        <w:gridCol w:w="1766"/>
        <w:gridCol w:w="1766"/>
        <w:gridCol w:w="1766"/>
        <w:gridCol w:w="1766"/>
      </w:tblGrid>
      <w:tr w:rsidR="00027CC8" w14:paraId="2F18C47D" w14:textId="77777777" w:rsidTr="008329F8">
        <w:tc>
          <w:tcPr>
            <w:tcW w:w="3276" w:type="dxa"/>
          </w:tcPr>
          <w:p w14:paraId="61740BAB" w14:textId="77777777" w:rsidR="00027CC8" w:rsidRDefault="00027CC8" w:rsidP="008329F8">
            <w:pPr>
              <w:pStyle w:val="Header"/>
              <w:jc w:val="center"/>
              <w:rPr>
                <w:rFonts w:ascii="Tw Cen MT" w:hAnsi="Tw Cen MT"/>
                <w:b/>
                <w:bCs/>
                <w:szCs w:val="22"/>
              </w:rPr>
            </w:pPr>
            <w:r>
              <w:rPr>
                <w:rFonts w:ascii="Tw Cen MT" w:hAnsi="Tw Cen MT"/>
                <w:b/>
                <w:bCs/>
                <w:szCs w:val="22"/>
              </w:rPr>
              <w:t>SLO</w:t>
            </w:r>
          </w:p>
        </w:tc>
        <w:tc>
          <w:tcPr>
            <w:tcW w:w="1766" w:type="dxa"/>
          </w:tcPr>
          <w:p w14:paraId="3BF0798F" w14:textId="77777777" w:rsidR="00027CC8" w:rsidRDefault="00027CC8" w:rsidP="008329F8">
            <w:pPr>
              <w:pStyle w:val="Header"/>
              <w:jc w:val="center"/>
              <w:rPr>
                <w:rFonts w:ascii="Tw Cen MT" w:hAnsi="Tw Cen MT"/>
                <w:b/>
                <w:bCs/>
                <w:szCs w:val="22"/>
              </w:rPr>
            </w:pPr>
            <w:r>
              <w:rPr>
                <w:rFonts w:ascii="Tw Cen MT" w:hAnsi="Tw Cen MT"/>
                <w:b/>
                <w:bCs/>
                <w:szCs w:val="22"/>
              </w:rPr>
              <w:t>Exceeds Expectations</w:t>
            </w:r>
          </w:p>
        </w:tc>
        <w:tc>
          <w:tcPr>
            <w:tcW w:w="1766" w:type="dxa"/>
          </w:tcPr>
          <w:p w14:paraId="13744602" w14:textId="77777777" w:rsidR="00027CC8" w:rsidRDefault="00027CC8" w:rsidP="008329F8">
            <w:pPr>
              <w:pStyle w:val="Header"/>
              <w:jc w:val="center"/>
              <w:rPr>
                <w:rFonts w:ascii="Tw Cen MT" w:hAnsi="Tw Cen MT"/>
                <w:b/>
                <w:bCs/>
                <w:szCs w:val="22"/>
              </w:rPr>
            </w:pPr>
            <w:r>
              <w:rPr>
                <w:rFonts w:ascii="Tw Cen MT" w:hAnsi="Tw Cen MT"/>
                <w:b/>
                <w:bCs/>
                <w:szCs w:val="22"/>
              </w:rPr>
              <w:t>Meets Expectations</w:t>
            </w:r>
          </w:p>
        </w:tc>
        <w:tc>
          <w:tcPr>
            <w:tcW w:w="1766" w:type="dxa"/>
          </w:tcPr>
          <w:p w14:paraId="6EAE7325" w14:textId="77777777" w:rsidR="00027CC8" w:rsidRDefault="00027CC8" w:rsidP="008329F8">
            <w:pPr>
              <w:pStyle w:val="Header"/>
              <w:jc w:val="center"/>
              <w:rPr>
                <w:rFonts w:ascii="Tw Cen MT" w:hAnsi="Tw Cen MT"/>
                <w:b/>
                <w:bCs/>
                <w:szCs w:val="22"/>
              </w:rPr>
            </w:pPr>
            <w:r>
              <w:rPr>
                <w:rFonts w:ascii="Tw Cen MT" w:hAnsi="Tw Cen MT"/>
                <w:b/>
                <w:bCs/>
                <w:szCs w:val="22"/>
              </w:rPr>
              <w:t>Meets Minimal Expectations</w:t>
            </w:r>
          </w:p>
        </w:tc>
        <w:tc>
          <w:tcPr>
            <w:tcW w:w="1766" w:type="dxa"/>
          </w:tcPr>
          <w:p w14:paraId="35844A07" w14:textId="77777777" w:rsidR="00027CC8" w:rsidRDefault="00027CC8" w:rsidP="008329F8">
            <w:pPr>
              <w:pStyle w:val="Header"/>
              <w:jc w:val="center"/>
              <w:rPr>
                <w:rFonts w:ascii="Tw Cen MT" w:hAnsi="Tw Cen MT"/>
                <w:b/>
                <w:bCs/>
                <w:szCs w:val="22"/>
              </w:rPr>
            </w:pPr>
            <w:r>
              <w:rPr>
                <w:rFonts w:ascii="Tw Cen MT" w:hAnsi="Tw Cen MT"/>
                <w:b/>
                <w:bCs/>
                <w:szCs w:val="22"/>
              </w:rPr>
              <w:t>Doesn’t Meet Expectations</w:t>
            </w:r>
          </w:p>
        </w:tc>
      </w:tr>
      <w:tr w:rsidR="00027CC8" w14:paraId="337B6AF9" w14:textId="77777777" w:rsidTr="008329F8">
        <w:tc>
          <w:tcPr>
            <w:tcW w:w="3276" w:type="dxa"/>
          </w:tcPr>
          <w:p w14:paraId="6436AFFF" w14:textId="77777777" w:rsidR="00027CC8" w:rsidRPr="002B18EB" w:rsidRDefault="00027CC8" w:rsidP="008329F8">
            <w:pPr>
              <w:pStyle w:val="Head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 xml:space="preserve">1. </w:t>
            </w:r>
            <w:r w:rsidRPr="003640B4">
              <w:rPr>
                <w:rFonts w:ascii="Tw Cen MT" w:hAnsi="Tw Cen MT"/>
                <w:szCs w:val="22"/>
              </w:rPr>
              <w:t>Knowledge</w:t>
            </w:r>
          </w:p>
        </w:tc>
        <w:tc>
          <w:tcPr>
            <w:tcW w:w="7064" w:type="dxa"/>
            <w:gridSpan w:val="4"/>
            <w:shd w:val="clear" w:color="auto" w:fill="D9D9D9" w:themeFill="background1" w:themeFillShade="D9"/>
          </w:tcPr>
          <w:p w14:paraId="210AB982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</w:p>
        </w:tc>
      </w:tr>
      <w:tr w:rsidR="00027CC8" w14:paraId="5342D3CE" w14:textId="77777777" w:rsidTr="008329F8">
        <w:tc>
          <w:tcPr>
            <w:tcW w:w="3276" w:type="dxa"/>
          </w:tcPr>
          <w:p w14:paraId="20C39585" w14:textId="77777777" w:rsidR="00027CC8" w:rsidRPr="002B18EB" w:rsidRDefault="00027CC8" w:rsidP="008329F8">
            <w:pPr>
              <w:pStyle w:val="Header"/>
              <w:ind w:left="248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1.1 Content Knowledge</w:t>
            </w:r>
          </w:p>
        </w:tc>
        <w:tc>
          <w:tcPr>
            <w:tcW w:w="1766" w:type="dxa"/>
          </w:tcPr>
          <w:p w14:paraId="0A4BD89A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31%</w:t>
            </w:r>
          </w:p>
        </w:tc>
        <w:tc>
          <w:tcPr>
            <w:tcW w:w="1766" w:type="dxa"/>
          </w:tcPr>
          <w:p w14:paraId="1AC131C9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56%</w:t>
            </w:r>
          </w:p>
        </w:tc>
        <w:tc>
          <w:tcPr>
            <w:tcW w:w="1766" w:type="dxa"/>
          </w:tcPr>
          <w:p w14:paraId="009FBB73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0%</w:t>
            </w:r>
          </w:p>
        </w:tc>
        <w:tc>
          <w:tcPr>
            <w:tcW w:w="1766" w:type="dxa"/>
          </w:tcPr>
          <w:p w14:paraId="0AE6CC93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13%</w:t>
            </w:r>
          </w:p>
        </w:tc>
      </w:tr>
      <w:tr w:rsidR="00027CC8" w14:paraId="412A5773" w14:textId="77777777" w:rsidTr="008329F8">
        <w:tc>
          <w:tcPr>
            <w:tcW w:w="3276" w:type="dxa"/>
          </w:tcPr>
          <w:p w14:paraId="45C47837" w14:textId="77777777" w:rsidR="00027CC8" w:rsidRDefault="00027CC8" w:rsidP="008329F8">
            <w:pPr>
              <w:pStyle w:val="Header"/>
              <w:ind w:left="248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1.2 Practical Application</w:t>
            </w:r>
          </w:p>
        </w:tc>
        <w:tc>
          <w:tcPr>
            <w:tcW w:w="1766" w:type="dxa"/>
          </w:tcPr>
          <w:p w14:paraId="1D44A735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60%</w:t>
            </w:r>
          </w:p>
        </w:tc>
        <w:tc>
          <w:tcPr>
            <w:tcW w:w="1766" w:type="dxa"/>
          </w:tcPr>
          <w:p w14:paraId="6DCF4BD5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27%</w:t>
            </w:r>
          </w:p>
        </w:tc>
        <w:tc>
          <w:tcPr>
            <w:tcW w:w="1766" w:type="dxa"/>
          </w:tcPr>
          <w:p w14:paraId="449D1155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10%</w:t>
            </w:r>
          </w:p>
        </w:tc>
        <w:tc>
          <w:tcPr>
            <w:tcW w:w="1766" w:type="dxa"/>
          </w:tcPr>
          <w:p w14:paraId="58AEB388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3%</w:t>
            </w:r>
          </w:p>
        </w:tc>
      </w:tr>
      <w:tr w:rsidR="00027CC8" w14:paraId="0D721C30" w14:textId="77777777" w:rsidTr="008329F8">
        <w:tc>
          <w:tcPr>
            <w:tcW w:w="3276" w:type="dxa"/>
          </w:tcPr>
          <w:p w14:paraId="1069B7F6" w14:textId="77777777" w:rsidR="00027CC8" w:rsidRDefault="00027CC8" w:rsidP="008329F8">
            <w:pPr>
              <w:pStyle w:val="Head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 xml:space="preserve">2. </w:t>
            </w:r>
            <w:r w:rsidRPr="003640B4">
              <w:rPr>
                <w:rFonts w:ascii="Tw Cen MT" w:hAnsi="Tw Cen MT"/>
                <w:szCs w:val="22"/>
              </w:rPr>
              <w:t>Critical Thinking</w:t>
            </w:r>
          </w:p>
        </w:tc>
        <w:tc>
          <w:tcPr>
            <w:tcW w:w="1766" w:type="dxa"/>
          </w:tcPr>
          <w:p w14:paraId="42C32266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58%</w:t>
            </w:r>
          </w:p>
        </w:tc>
        <w:tc>
          <w:tcPr>
            <w:tcW w:w="1766" w:type="dxa"/>
          </w:tcPr>
          <w:p w14:paraId="530B6836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23%</w:t>
            </w:r>
          </w:p>
        </w:tc>
        <w:tc>
          <w:tcPr>
            <w:tcW w:w="1766" w:type="dxa"/>
          </w:tcPr>
          <w:p w14:paraId="77A9D28E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13%</w:t>
            </w:r>
          </w:p>
        </w:tc>
        <w:tc>
          <w:tcPr>
            <w:tcW w:w="1766" w:type="dxa"/>
          </w:tcPr>
          <w:p w14:paraId="48FF83DA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6%</w:t>
            </w:r>
          </w:p>
        </w:tc>
      </w:tr>
      <w:tr w:rsidR="00027CC8" w14:paraId="68E1E5B5" w14:textId="77777777" w:rsidTr="008329F8">
        <w:tc>
          <w:tcPr>
            <w:tcW w:w="3276" w:type="dxa"/>
          </w:tcPr>
          <w:p w14:paraId="6DB016AE" w14:textId="77777777" w:rsidR="00027CC8" w:rsidRDefault="00027CC8" w:rsidP="008329F8">
            <w:pPr>
              <w:pStyle w:val="Head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 xml:space="preserve">3. </w:t>
            </w:r>
            <w:r w:rsidRPr="003640B4">
              <w:rPr>
                <w:rFonts w:ascii="Tw Cen MT" w:hAnsi="Tw Cen MT"/>
                <w:szCs w:val="22"/>
              </w:rPr>
              <w:t>Communication</w:t>
            </w:r>
          </w:p>
        </w:tc>
        <w:tc>
          <w:tcPr>
            <w:tcW w:w="1766" w:type="dxa"/>
          </w:tcPr>
          <w:p w14:paraId="176308B9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28%</w:t>
            </w:r>
          </w:p>
        </w:tc>
        <w:tc>
          <w:tcPr>
            <w:tcW w:w="1766" w:type="dxa"/>
          </w:tcPr>
          <w:p w14:paraId="4D527042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48%</w:t>
            </w:r>
          </w:p>
        </w:tc>
        <w:tc>
          <w:tcPr>
            <w:tcW w:w="1766" w:type="dxa"/>
          </w:tcPr>
          <w:p w14:paraId="6EA95FA7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24%</w:t>
            </w:r>
          </w:p>
        </w:tc>
        <w:tc>
          <w:tcPr>
            <w:tcW w:w="1766" w:type="dxa"/>
          </w:tcPr>
          <w:p w14:paraId="72C7750A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0%</w:t>
            </w:r>
          </w:p>
        </w:tc>
      </w:tr>
      <w:tr w:rsidR="00027CC8" w14:paraId="3ED547E1" w14:textId="77777777" w:rsidTr="008329F8">
        <w:tc>
          <w:tcPr>
            <w:tcW w:w="3276" w:type="dxa"/>
          </w:tcPr>
          <w:p w14:paraId="3D36524E" w14:textId="77777777" w:rsidR="00027CC8" w:rsidRDefault="00027CC8" w:rsidP="008329F8">
            <w:pPr>
              <w:pStyle w:val="Head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 xml:space="preserve">4. </w:t>
            </w:r>
            <w:r w:rsidRPr="003640B4">
              <w:rPr>
                <w:rFonts w:ascii="Tw Cen MT" w:hAnsi="Tw Cen MT"/>
                <w:szCs w:val="22"/>
              </w:rPr>
              <w:t>Diversity</w:t>
            </w:r>
          </w:p>
        </w:tc>
        <w:tc>
          <w:tcPr>
            <w:tcW w:w="1766" w:type="dxa"/>
          </w:tcPr>
          <w:p w14:paraId="68005659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71%</w:t>
            </w:r>
          </w:p>
        </w:tc>
        <w:tc>
          <w:tcPr>
            <w:tcW w:w="1766" w:type="dxa"/>
          </w:tcPr>
          <w:p w14:paraId="6FFD7044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21%</w:t>
            </w:r>
          </w:p>
        </w:tc>
        <w:tc>
          <w:tcPr>
            <w:tcW w:w="1766" w:type="dxa"/>
          </w:tcPr>
          <w:p w14:paraId="68C8DC08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8%</w:t>
            </w:r>
          </w:p>
        </w:tc>
        <w:tc>
          <w:tcPr>
            <w:tcW w:w="1766" w:type="dxa"/>
          </w:tcPr>
          <w:p w14:paraId="7CAE1E81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0%</w:t>
            </w:r>
          </w:p>
        </w:tc>
      </w:tr>
      <w:tr w:rsidR="00027CC8" w14:paraId="12217D22" w14:textId="77777777" w:rsidTr="008329F8">
        <w:tc>
          <w:tcPr>
            <w:tcW w:w="3276" w:type="dxa"/>
          </w:tcPr>
          <w:p w14:paraId="173356E3" w14:textId="77777777" w:rsidR="00027CC8" w:rsidRDefault="00027CC8" w:rsidP="008329F8">
            <w:pPr>
              <w:pStyle w:val="Head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 xml:space="preserve">5. </w:t>
            </w:r>
            <w:r w:rsidRPr="003640B4">
              <w:rPr>
                <w:rFonts w:ascii="Tw Cen MT" w:hAnsi="Tw Cen MT"/>
                <w:szCs w:val="22"/>
              </w:rPr>
              <w:t>Academic and Professional Integrity</w:t>
            </w:r>
          </w:p>
        </w:tc>
        <w:tc>
          <w:tcPr>
            <w:tcW w:w="1766" w:type="dxa"/>
          </w:tcPr>
          <w:p w14:paraId="2798F545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70%</w:t>
            </w:r>
          </w:p>
        </w:tc>
        <w:tc>
          <w:tcPr>
            <w:tcW w:w="1766" w:type="dxa"/>
          </w:tcPr>
          <w:p w14:paraId="32061163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28%</w:t>
            </w:r>
          </w:p>
        </w:tc>
        <w:tc>
          <w:tcPr>
            <w:tcW w:w="1766" w:type="dxa"/>
          </w:tcPr>
          <w:p w14:paraId="2DD5DB15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3%</w:t>
            </w:r>
          </w:p>
        </w:tc>
        <w:tc>
          <w:tcPr>
            <w:tcW w:w="1766" w:type="dxa"/>
          </w:tcPr>
          <w:p w14:paraId="00427F7D" w14:textId="77777777" w:rsidR="00027CC8" w:rsidRPr="002B18EB" w:rsidRDefault="00027CC8" w:rsidP="008329F8">
            <w:pPr>
              <w:pStyle w:val="Header"/>
              <w:jc w:val="center"/>
              <w:rPr>
                <w:rFonts w:ascii="Tw Cen MT" w:hAnsi="Tw Cen MT"/>
                <w:szCs w:val="22"/>
              </w:rPr>
            </w:pPr>
            <w:r>
              <w:rPr>
                <w:rFonts w:ascii="Tw Cen MT" w:hAnsi="Tw Cen MT"/>
                <w:szCs w:val="22"/>
              </w:rPr>
              <w:t>0%</w:t>
            </w:r>
          </w:p>
        </w:tc>
      </w:tr>
    </w:tbl>
    <w:p w14:paraId="29CA46F7" w14:textId="77777777" w:rsidR="00027CC8" w:rsidRDefault="00027CC8" w:rsidP="00027CC8"/>
    <w:p w14:paraId="075C69D9" w14:textId="148D67C6" w:rsidR="00F87B14" w:rsidRPr="00597B2D" w:rsidRDefault="00C7186D" w:rsidP="000601B8">
      <w:pPr>
        <w:rPr>
          <w:rFonts w:ascii="Tw Cen MT" w:hAnsi="Tw Cen MT"/>
        </w:rPr>
      </w:pPr>
      <w:r w:rsidRPr="00597B2D">
        <w:rPr>
          <w:rFonts w:ascii="Tw Cen MT" w:hAnsi="Tw Cen MT"/>
        </w:rPr>
        <w:t>Despite not meeting the 90% goal for the remaining SLOs, we are pleased with the overall findings</w:t>
      </w:r>
      <w:r w:rsidR="003479AA" w:rsidRPr="00597B2D">
        <w:rPr>
          <w:rFonts w:ascii="Tw Cen MT" w:hAnsi="Tw Cen MT"/>
        </w:rPr>
        <w:t xml:space="preserve"> given that none of the students enrolled in ADC 325 had previously completed </w:t>
      </w:r>
      <w:r w:rsidR="00A94109" w:rsidRPr="00597B2D">
        <w:rPr>
          <w:rFonts w:ascii="Tw Cen MT" w:hAnsi="Tw Cen MT"/>
        </w:rPr>
        <w:t xml:space="preserve">the Introduction to Addiction course and </w:t>
      </w:r>
      <w:r w:rsidR="00E840E9" w:rsidRPr="00597B2D">
        <w:rPr>
          <w:rFonts w:ascii="Tw Cen MT" w:hAnsi="Tw Cen MT"/>
        </w:rPr>
        <w:t xml:space="preserve">only five of the </w:t>
      </w:r>
      <w:r w:rsidR="006F5C48" w:rsidRPr="00597B2D">
        <w:rPr>
          <w:rFonts w:ascii="Tw Cen MT" w:hAnsi="Tw Cen MT"/>
        </w:rPr>
        <w:t>students (all social work majors) enrolled in ADC</w:t>
      </w:r>
      <w:r w:rsidR="000C1D77" w:rsidRPr="00597B2D">
        <w:rPr>
          <w:rFonts w:ascii="Tw Cen MT" w:hAnsi="Tw Cen MT"/>
        </w:rPr>
        <w:t xml:space="preserve"> </w:t>
      </w:r>
      <w:r w:rsidR="006F5C48" w:rsidRPr="00597B2D">
        <w:rPr>
          <w:rFonts w:ascii="Tw Cen MT" w:hAnsi="Tw Cen MT"/>
        </w:rPr>
        <w:t>561/SOCWK 561</w:t>
      </w:r>
      <w:r w:rsidR="004076B9" w:rsidRPr="00597B2D">
        <w:rPr>
          <w:rFonts w:ascii="Tw Cen MT" w:hAnsi="Tw Cen MT"/>
        </w:rPr>
        <w:t xml:space="preserve"> have previously taken one or more addiction counseling courses.</w:t>
      </w:r>
      <w:r w:rsidR="00373991" w:rsidRPr="00597B2D">
        <w:rPr>
          <w:rFonts w:ascii="Tw Cen MT" w:hAnsi="Tw Cen MT"/>
        </w:rPr>
        <w:t xml:space="preserve"> </w:t>
      </w:r>
      <w:r w:rsidR="00B91912" w:rsidRPr="00597B2D">
        <w:rPr>
          <w:rFonts w:ascii="Tw Cen MT" w:hAnsi="Tw Cen MT"/>
        </w:rPr>
        <w:t xml:space="preserve">ADC outcome measure 3.1 Interpersonal Communication </w:t>
      </w:r>
      <w:r w:rsidR="001B691D" w:rsidRPr="00597B2D">
        <w:rPr>
          <w:rFonts w:ascii="Tw Cen MT" w:hAnsi="Tw Cen MT"/>
        </w:rPr>
        <w:t>represents</w:t>
      </w:r>
      <w:r w:rsidR="00B91912" w:rsidRPr="00597B2D">
        <w:rPr>
          <w:rFonts w:ascii="Tw Cen MT" w:hAnsi="Tw Cen MT"/>
        </w:rPr>
        <w:t xml:space="preserve"> the only area where students </w:t>
      </w:r>
      <w:r w:rsidR="001B691D" w:rsidRPr="00597B2D">
        <w:rPr>
          <w:rFonts w:ascii="Tw Cen MT" w:hAnsi="Tw Cen MT"/>
        </w:rPr>
        <w:t xml:space="preserve">struggled to meet </w:t>
      </w:r>
      <w:r w:rsidR="004A16CB" w:rsidRPr="00597B2D">
        <w:rPr>
          <w:rFonts w:ascii="Tw Cen MT" w:hAnsi="Tw Cen MT"/>
        </w:rPr>
        <w:t>expectations</w:t>
      </w:r>
      <w:r w:rsidR="00B91912" w:rsidRPr="00597B2D">
        <w:rPr>
          <w:rFonts w:ascii="Tw Cen MT" w:hAnsi="Tw Cen MT"/>
        </w:rPr>
        <w:t xml:space="preserve">. </w:t>
      </w:r>
      <w:r w:rsidR="003A1459" w:rsidRPr="00597B2D">
        <w:rPr>
          <w:rFonts w:ascii="Tw Cen MT" w:hAnsi="Tw Cen MT"/>
        </w:rPr>
        <w:t xml:space="preserve">This finding was not surprising given that </w:t>
      </w:r>
      <w:r w:rsidR="00C351BF" w:rsidRPr="00597B2D">
        <w:rPr>
          <w:rFonts w:ascii="Tw Cen MT" w:hAnsi="Tw Cen MT"/>
        </w:rPr>
        <w:t>it was</w:t>
      </w:r>
      <w:r w:rsidR="002F320B" w:rsidRPr="00597B2D">
        <w:rPr>
          <w:rFonts w:ascii="Tw Cen MT" w:hAnsi="Tw Cen MT"/>
        </w:rPr>
        <w:t xml:space="preserve"> based only one outcome measure </w:t>
      </w:r>
      <w:r w:rsidR="00F87B14" w:rsidRPr="00597B2D">
        <w:rPr>
          <w:rFonts w:ascii="Tw Cen MT" w:hAnsi="Tw Cen MT"/>
        </w:rPr>
        <w:t>included in ADC 325 instead of multiple measures</w:t>
      </w:r>
      <w:r w:rsidR="00745CEA" w:rsidRPr="00597B2D">
        <w:rPr>
          <w:rFonts w:ascii="Tw Cen MT" w:hAnsi="Tw Cen MT"/>
        </w:rPr>
        <w:t xml:space="preserve"> dispersed among the program’s </w:t>
      </w:r>
      <w:r w:rsidR="009842C5" w:rsidRPr="00597B2D">
        <w:rPr>
          <w:rFonts w:ascii="Tw Cen MT" w:hAnsi="Tw Cen MT"/>
        </w:rPr>
        <w:t xml:space="preserve">additional </w:t>
      </w:r>
      <w:r w:rsidR="00745CEA" w:rsidRPr="00597B2D">
        <w:rPr>
          <w:rFonts w:ascii="Tw Cen MT" w:hAnsi="Tw Cen MT"/>
        </w:rPr>
        <w:t xml:space="preserve">core courses. </w:t>
      </w:r>
      <w:r w:rsidR="00F87B14" w:rsidRPr="00597B2D">
        <w:rPr>
          <w:rFonts w:ascii="Tw Cen MT" w:hAnsi="Tw Cen MT"/>
        </w:rPr>
        <w:t xml:space="preserve"> </w:t>
      </w:r>
    </w:p>
    <w:tbl>
      <w:tblPr>
        <w:tblW w:w="10710" w:type="dxa"/>
        <w:tblCellSpacing w:w="15" w:type="dxa"/>
        <w:tblInd w:w="-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0"/>
      </w:tblGrid>
      <w:tr w:rsidR="00351AA7" w14:paraId="5290BBAF" w14:textId="77777777" w:rsidTr="005E36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6D05D1C" w14:textId="27F10CCD" w:rsidR="00351AA7" w:rsidRDefault="00351AA7">
            <w:pPr>
              <w:rPr>
                <w:rFonts w:ascii="Segoe UI" w:hAnsi="Segoe UI" w:cs="Segoe UI"/>
                <w:color w:val="605E5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48FAC44" wp14:editId="642A067B">
                  <wp:extent cx="6902450" cy="4368800"/>
                  <wp:effectExtent l="0" t="0" r="0" b="0"/>
                  <wp:docPr id="812304488" name="Picture 3" descr="A Power BI visua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Power BI visu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848" b="20300"/>
                          <a:stretch/>
                        </pic:blipFill>
                        <pic:spPr bwMode="auto">
                          <a:xfrm>
                            <a:off x="0" y="0"/>
                            <a:ext cx="6903675" cy="436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AA7" w14:paraId="7A14342F" w14:textId="77777777" w:rsidTr="005E36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57D117A" w14:textId="22F29356" w:rsidR="00351AA7" w:rsidRDefault="00351AA7">
            <w:pPr>
              <w:rPr>
                <w:rFonts w:ascii="Segoe UI" w:hAnsi="Segoe UI" w:cs="Segoe UI"/>
                <w:color w:val="605E5C"/>
                <w:sz w:val="18"/>
                <w:szCs w:val="18"/>
              </w:rPr>
            </w:pPr>
          </w:p>
        </w:tc>
      </w:tr>
    </w:tbl>
    <w:p w14:paraId="54DF3EF3" w14:textId="56799711" w:rsidR="00017716" w:rsidRPr="004B66CE" w:rsidRDefault="5A5FDA56" w:rsidP="004B66CE">
      <w:pPr>
        <w:ind w:left="-270"/>
        <w:rPr>
          <w:rFonts w:ascii="Tw Cen MT" w:hAnsi="Tw Cen MT"/>
          <w:b/>
          <w:szCs w:val="22"/>
        </w:rPr>
      </w:pPr>
      <w:r w:rsidRPr="5A5FDA56">
        <w:rPr>
          <w:rFonts w:ascii="Tw Cen MT" w:eastAsia="Tw Cen MT" w:hAnsi="Tw Cen MT" w:cs="Tw Cen MT"/>
          <w:b/>
          <w:bCs/>
        </w:rPr>
        <w:t>Future Plans</w:t>
      </w:r>
    </w:p>
    <w:p w14:paraId="725BF646" w14:textId="77777777" w:rsidR="00905EA1" w:rsidRDefault="00905EA1" w:rsidP="00905EA1">
      <w:pPr>
        <w:rPr>
          <w:rFonts w:ascii="Tw Cen MT" w:eastAsia="Tw Cen MT" w:hAnsi="Tw Cen MT" w:cs="Tw Cen MT"/>
        </w:rPr>
      </w:pPr>
      <w:r w:rsidRPr="5A5FDA56">
        <w:rPr>
          <w:rFonts w:ascii="Tw Cen MT" w:eastAsia="Tw Cen MT" w:hAnsi="Tw Cen MT" w:cs="Tw Cen MT"/>
        </w:rPr>
        <w:t xml:space="preserve">If you did not assess one or more of your outcomes this year, list them here along with the year they will be assessed.  In addition, briefly describe </w:t>
      </w:r>
      <w:r>
        <w:rPr>
          <w:rFonts w:ascii="Tw Cen MT" w:eastAsia="Tw Cen MT" w:hAnsi="Tw Cen MT" w:cs="Tw Cen MT"/>
        </w:rPr>
        <w:t>long</w:t>
      </w:r>
      <w:r w:rsidRPr="5A5FDA56">
        <w:rPr>
          <w:rFonts w:ascii="Tw Cen MT" w:eastAsia="Tw Cen MT" w:hAnsi="Tw Cen MT" w:cs="Tw Cen MT"/>
        </w:rPr>
        <w:t>-term plans to improve the assessment pr</w:t>
      </w:r>
      <w:r>
        <w:rPr>
          <w:rFonts w:ascii="Tw Cen MT" w:eastAsia="Tw Cen MT" w:hAnsi="Tw Cen MT" w:cs="Tw Cen MT"/>
        </w:rPr>
        <w:t xml:space="preserve">ocess and/or student learning. </w:t>
      </w:r>
    </w:p>
    <w:p w14:paraId="701ED33E" w14:textId="77777777" w:rsidR="002008A8" w:rsidRDefault="002008A8" w:rsidP="00905EA1">
      <w:pPr>
        <w:rPr>
          <w:rFonts w:ascii="Tw Cen MT" w:eastAsia="Tw Cen MT" w:hAnsi="Tw Cen MT" w:cs="Tw Cen MT"/>
        </w:rPr>
      </w:pPr>
    </w:p>
    <w:p w14:paraId="2FF3EECD" w14:textId="0F8ACB4B" w:rsidR="00562CCA" w:rsidRPr="00F14E08" w:rsidRDefault="00502962" w:rsidP="002E45C4">
      <w:pPr>
        <w:rPr>
          <w:rFonts w:ascii="Tw Cen MT" w:hAnsi="Tw Cen MT"/>
        </w:rPr>
      </w:pPr>
      <w:r w:rsidRPr="00F14E08">
        <w:rPr>
          <w:rFonts w:ascii="Tw Cen MT" w:hAnsi="Tw Cen MT"/>
        </w:rPr>
        <w:t>The preliminary assessment data revealed</w:t>
      </w:r>
      <w:r w:rsidR="00093E92" w:rsidRPr="00F14E08">
        <w:rPr>
          <w:rFonts w:ascii="Tw Cen MT" w:hAnsi="Tw Cen MT"/>
        </w:rPr>
        <w:t xml:space="preserve"> a need to make revisions to ADC 325 in an effort to better meet freshmen/sophomore students where they are </w:t>
      </w:r>
      <w:r w:rsidR="00B33155" w:rsidRPr="00F14E08">
        <w:rPr>
          <w:rFonts w:ascii="Tw Cen MT" w:hAnsi="Tw Cen MT"/>
        </w:rPr>
        <w:t>at in the learning process.</w:t>
      </w:r>
      <w:r w:rsidR="00C436CC" w:rsidRPr="00F14E08">
        <w:rPr>
          <w:rFonts w:ascii="Tw Cen MT" w:hAnsi="Tw Cen MT"/>
        </w:rPr>
        <w:t xml:space="preserve"> The course was originally set-up to </w:t>
      </w:r>
      <w:r w:rsidR="002B45F8" w:rsidRPr="00F14E08">
        <w:rPr>
          <w:rFonts w:ascii="Tw Cen MT" w:hAnsi="Tw Cen MT"/>
        </w:rPr>
        <w:t xml:space="preserve">challenge students </w:t>
      </w:r>
      <w:r w:rsidR="00A50797" w:rsidRPr="00F14E08">
        <w:rPr>
          <w:rFonts w:ascii="Tw Cen MT" w:hAnsi="Tw Cen MT"/>
        </w:rPr>
        <w:t xml:space="preserve">to resolve </w:t>
      </w:r>
      <w:r w:rsidR="002B45F8" w:rsidRPr="00F14E08">
        <w:rPr>
          <w:rFonts w:ascii="Tw Cen MT" w:hAnsi="Tw Cen MT"/>
        </w:rPr>
        <w:t>various ethical dilemma</w:t>
      </w:r>
      <w:r w:rsidR="00A50797" w:rsidRPr="00F14E08">
        <w:rPr>
          <w:rFonts w:ascii="Tw Cen MT" w:hAnsi="Tw Cen MT"/>
        </w:rPr>
        <w:t>s within class</w:t>
      </w:r>
      <w:r w:rsidR="00B8083E" w:rsidRPr="00F14E08">
        <w:rPr>
          <w:rFonts w:ascii="Tw Cen MT" w:hAnsi="Tw Cen MT"/>
        </w:rPr>
        <w:t>. However, it became clear that these simulations were not effective</w:t>
      </w:r>
      <w:r w:rsidR="00E24DA3" w:rsidRPr="00F14E08">
        <w:rPr>
          <w:rFonts w:ascii="Tw Cen MT" w:hAnsi="Tw Cen MT"/>
        </w:rPr>
        <w:t xml:space="preserve"> as a result of </w:t>
      </w:r>
      <w:r w:rsidR="000D5866" w:rsidRPr="00F14E08">
        <w:rPr>
          <w:rFonts w:ascii="Tw Cen MT" w:hAnsi="Tw Cen MT"/>
        </w:rPr>
        <w:t>a</w:t>
      </w:r>
      <w:r w:rsidR="00E24DA3" w:rsidRPr="00F14E08">
        <w:rPr>
          <w:rFonts w:ascii="Tw Cen MT" w:hAnsi="Tw Cen MT"/>
        </w:rPr>
        <w:t xml:space="preserve"> majority of students </w:t>
      </w:r>
      <w:r w:rsidR="000D5866" w:rsidRPr="00F14E08">
        <w:rPr>
          <w:rFonts w:ascii="Tw Cen MT" w:hAnsi="Tw Cen MT"/>
        </w:rPr>
        <w:t>1. N</w:t>
      </w:r>
      <w:r w:rsidR="00E24DA3" w:rsidRPr="00F14E08">
        <w:rPr>
          <w:rFonts w:ascii="Tw Cen MT" w:hAnsi="Tw Cen MT"/>
        </w:rPr>
        <w:t>ot completing the required preparat</w:t>
      </w:r>
      <w:r w:rsidR="00B268D8" w:rsidRPr="00F14E08">
        <w:rPr>
          <w:rFonts w:ascii="Tw Cen MT" w:hAnsi="Tw Cen MT"/>
        </w:rPr>
        <w:t>ory</w:t>
      </w:r>
      <w:r w:rsidR="00E24DA3" w:rsidRPr="00F14E08">
        <w:rPr>
          <w:rFonts w:ascii="Tw Cen MT" w:hAnsi="Tw Cen MT"/>
        </w:rPr>
        <w:t xml:space="preserve"> asynchronous lectures </w:t>
      </w:r>
      <w:r w:rsidR="00020C74" w:rsidRPr="00F14E08">
        <w:rPr>
          <w:rFonts w:ascii="Tw Cen MT" w:hAnsi="Tw Cen MT"/>
        </w:rPr>
        <w:t xml:space="preserve">and reading assignments and 2. </w:t>
      </w:r>
      <w:r w:rsidR="000D5866" w:rsidRPr="00F14E08">
        <w:rPr>
          <w:rFonts w:ascii="Tw Cen MT" w:hAnsi="Tw Cen MT"/>
        </w:rPr>
        <w:t>R</w:t>
      </w:r>
      <w:r w:rsidR="00020C74" w:rsidRPr="00F14E08">
        <w:rPr>
          <w:rFonts w:ascii="Tw Cen MT" w:hAnsi="Tw Cen MT"/>
        </w:rPr>
        <w:t>eporting that they hadn’t yet reached a point in their college education where they felt comfortable “making mistakes</w:t>
      </w:r>
      <w:r w:rsidR="001A38EF" w:rsidRPr="00F14E08">
        <w:rPr>
          <w:rFonts w:ascii="Tw Cen MT" w:hAnsi="Tw Cen MT"/>
        </w:rPr>
        <w:t>” in front of their peers. As a result of the assessment findings and student feedback,</w:t>
      </w:r>
      <w:r w:rsidR="000D5866" w:rsidRPr="00F14E08">
        <w:rPr>
          <w:rFonts w:ascii="Tw Cen MT" w:hAnsi="Tw Cen MT"/>
        </w:rPr>
        <w:t xml:space="preserve"> ADC 325 has been restructured</w:t>
      </w:r>
      <w:r w:rsidR="00E429D7" w:rsidRPr="00F14E08">
        <w:rPr>
          <w:rFonts w:ascii="Tw Cen MT" w:hAnsi="Tw Cen MT"/>
        </w:rPr>
        <w:t xml:space="preserve"> so that a majority of classroom time will be spent on covering key learning objectives</w:t>
      </w:r>
      <w:r w:rsidR="002D7B42" w:rsidRPr="00F14E08">
        <w:rPr>
          <w:rFonts w:ascii="Tw Cen MT" w:hAnsi="Tw Cen MT"/>
        </w:rPr>
        <w:t xml:space="preserve">. </w:t>
      </w:r>
      <w:r w:rsidR="006362C1" w:rsidRPr="00F14E08">
        <w:rPr>
          <w:rFonts w:ascii="Tw Cen MT" w:hAnsi="Tw Cen MT"/>
        </w:rPr>
        <w:t>Whereas</w:t>
      </w:r>
      <w:r w:rsidR="000A752C" w:rsidRPr="00F14E08">
        <w:rPr>
          <w:rFonts w:ascii="Tw Cen MT" w:hAnsi="Tw Cen MT"/>
        </w:rPr>
        <w:t xml:space="preserve"> critical thinking assignments</w:t>
      </w:r>
      <w:r w:rsidR="00631CC3" w:rsidRPr="00F14E08">
        <w:rPr>
          <w:rFonts w:ascii="Tw Cen MT" w:hAnsi="Tw Cen MT"/>
        </w:rPr>
        <w:t xml:space="preserve"> that challenge the students’ understanding of learning objectives</w:t>
      </w:r>
      <w:r w:rsidR="000A752C" w:rsidRPr="00F14E08">
        <w:rPr>
          <w:rFonts w:ascii="Tw Cen MT" w:hAnsi="Tw Cen MT"/>
        </w:rPr>
        <w:t xml:space="preserve"> will </w:t>
      </w:r>
      <w:r w:rsidR="00244AE4" w:rsidRPr="00F14E08">
        <w:rPr>
          <w:rFonts w:ascii="Tw Cen MT" w:hAnsi="Tw Cen MT"/>
        </w:rPr>
        <w:t xml:space="preserve">be included </w:t>
      </w:r>
      <w:r w:rsidR="00F41A34" w:rsidRPr="00F14E08">
        <w:rPr>
          <w:rFonts w:ascii="Tw Cen MT" w:hAnsi="Tw Cen MT"/>
        </w:rPr>
        <w:t>on asynchronous class days.</w:t>
      </w:r>
      <w:r w:rsidR="00631CC3" w:rsidRPr="00F14E08">
        <w:rPr>
          <w:rFonts w:ascii="Tw Cen MT" w:hAnsi="Tw Cen MT"/>
        </w:rPr>
        <w:t xml:space="preserve"> </w:t>
      </w:r>
      <w:r w:rsidR="00891308" w:rsidRPr="00F14E08">
        <w:rPr>
          <w:rFonts w:ascii="Tw Cen MT" w:hAnsi="Tw Cen MT"/>
        </w:rPr>
        <w:t xml:space="preserve">We feel this shift will </w:t>
      </w:r>
      <w:r w:rsidR="00D35A6A" w:rsidRPr="00F14E08">
        <w:rPr>
          <w:rFonts w:ascii="Tw Cen MT" w:hAnsi="Tw Cen MT"/>
        </w:rPr>
        <w:t>better equip students to make informed ethical decisions based on course content</w:t>
      </w:r>
      <w:r w:rsidR="005A378B" w:rsidRPr="00F14E08">
        <w:rPr>
          <w:rFonts w:ascii="Tw Cen MT" w:hAnsi="Tw Cen MT"/>
        </w:rPr>
        <w:t xml:space="preserve">. It will also make it possible </w:t>
      </w:r>
      <w:r w:rsidR="00C77B4A" w:rsidRPr="00F14E08">
        <w:rPr>
          <w:rFonts w:ascii="Tw Cen MT" w:hAnsi="Tw Cen MT"/>
        </w:rPr>
        <w:t>for</w:t>
      </w:r>
      <w:r w:rsidR="005A378B" w:rsidRPr="00F14E08">
        <w:rPr>
          <w:rFonts w:ascii="Tw Cen MT" w:hAnsi="Tw Cen MT"/>
        </w:rPr>
        <w:t xml:space="preserve"> students </w:t>
      </w:r>
      <w:r w:rsidR="00C77B4A" w:rsidRPr="00F14E08">
        <w:rPr>
          <w:rFonts w:ascii="Tw Cen MT" w:hAnsi="Tw Cen MT"/>
        </w:rPr>
        <w:t>to explore their personal beliefs about tough ethical and values dilemmas in more detail</w:t>
      </w:r>
      <w:r w:rsidR="007A33A6" w:rsidRPr="00F14E08">
        <w:rPr>
          <w:rFonts w:ascii="Tw Cen MT" w:hAnsi="Tw Cen MT"/>
        </w:rPr>
        <w:t xml:space="preserve"> with the knowledge that they will be able to choose whether they share their comments </w:t>
      </w:r>
      <w:r w:rsidR="00D56185" w:rsidRPr="00F14E08">
        <w:rPr>
          <w:rFonts w:ascii="Tw Cen MT" w:hAnsi="Tw Cen MT"/>
        </w:rPr>
        <w:t xml:space="preserve">with the rest of the class. </w:t>
      </w:r>
      <w:r w:rsidR="00E46FB5" w:rsidRPr="00F14E08">
        <w:rPr>
          <w:rFonts w:ascii="Tw Cen MT" w:hAnsi="Tw Cen MT"/>
        </w:rPr>
        <w:t xml:space="preserve">The ADC 325 format changes will also result in it no longer being used to assess interpersonal communication skills. </w:t>
      </w:r>
      <w:r w:rsidR="00D8100B" w:rsidRPr="00F14E08">
        <w:rPr>
          <w:rFonts w:ascii="Tw Cen MT" w:hAnsi="Tw Cen MT"/>
        </w:rPr>
        <w:t>This SLO will</w:t>
      </w:r>
      <w:r w:rsidR="00F17BB4" w:rsidRPr="00F14E08">
        <w:rPr>
          <w:rFonts w:ascii="Tw Cen MT" w:hAnsi="Tw Cen MT"/>
        </w:rPr>
        <w:t>, instead,</w:t>
      </w:r>
      <w:r w:rsidR="00D8100B" w:rsidRPr="00F14E08">
        <w:rPr>
          <w:rFonts w:ascii="Tw Cen MT" w:hAnsi="Tw Cen MT"/>
        </w:rPr>
        <w:t xml:space="preserve"> be monitored in</w:t>
      </w:r>
      <w:r w:rsidR="00F17BB4" w:rsidRPr="00F14E08">
        <w:rPr>
          <w:rFonts w:ascii="Tw Cen MT" w:hAnsi="Tw Cen MT"/>
        </w:rPr>
        <w:t xml:space="preserve"> </w:t>
      </w:r>
      <w:r w:rsidR="009A0DA9" w:rsidRPr="00F14E08">
        <w:rPr>
          <w:rFonts w:ascii="Tw Cen MT" w:hAnsi="Tw Cen MT"/>
        </w:rPr>
        <w:t>upper-level</w:t>
      </w:r>
      <w:r w:rsidR="00F17BB4" w:rsidRPr="00F14E08">
        <w:rPr>
          <w:rFonts w:ascii="Tw Cen MT" w:hAnsi="Tw Cen MT"/>
        </w:rPr>
        <w:t xml:space="preserve"> ADC courses</w:t>
      </w:r>
      <w:r w:rsidR="0086361C" w:rsidRPr="00F14E08">
        <w:rPr>
          <w:rFonts w:ascii="Tw Cen MT" w:hAnsi="Tw Cen MT"/>
        </w:rPr>
        <w:t xml:space="preserve"> including ADC 570</w:t>
      </w:r>
      <w:r w:rsidR="003E63F4" w:rsidRPr="00F14E08">
        <w:rPr>
          <w:rFonts w:ascii="Tw Cen MT" w:hAnsi="Tw Cen MT"/>
        </w:rPr>
        <w:t>/SOCWK 570</w:t>
      </w:r>
      <w:r w:rsidR="0086361C" w:rsidRPr="00F14E08">
        <w:rPr>
          <w:rFonts w:ascii="Tw Cen MT" w:hAnsi="Tw Cen MT"/>
        </w:rPr>
        <w:t xml:space="preserve"> Group Facilitation and ADC 630 Co-Occurring Disorders and Addiction Treatment. </w:t>
      </w:r>
    </w:p>
    <w:p w14:paraId="3D48F5D0" w14:textId="77777777" w:rsidR="003E63F4" w:rsidRPr="00F14E08" w:rsidRDefault="003E63F4" w:rsidP="002E45C4">
      <w:pPr>
        <w:rPr>
          <w:rFonts w:ascii="Tw Cen MT" w:hAnsi="Tw Cen MT"/>
        </w:rPr>
      </w:pPr>
    </w:p>
    <w:p w14:paraId="3323063E" w14:textId="748AF5ED" w:rsidR="000427E8" w:rsidRPr="00F14E08" w:rsidRDefault="003E63F4" w:rsidP="002E45C4">
      <w:pPr>
        <w:rPr>
          <w:rFonts w:ascii="Tw Cen MT" w:hAnsi="Tw Cen MT"/>
        </w:rPr>
      </w:pPr>
      <w:r w:rsidRPr="00F14E08">
        <w:rPr>
          <w:rFonts w:ascii="Tw Cen MT" w:hAnsi="Tw Cen MT"/>
        </w:rPr>
        <w:t xml:space="preserve">The data did not demonstrate a need to </w:t>
      </w:r>
      <w:r w:rsidR="00683067" w:rsidRPr="00F14E08">
        <w:rPr>
          <w:rFonts w:ascii="Tw Cen MT" w:hAnsi="Tw Cen MT"/>
        </w:rPr>
        <w:t>revise</w:t>
      </w:r>
      <w:r w:rsidRPr="00F14E08">
        <w:rPr>
          <w:rFonts w:ascii="Tw Cen MT" w:hAnsi="Tw Cen MT"/>
        </w:rPr>
        <w:t xml:space="preserve"> ADC 561/SOCWK 5</w:t>
      </w:r>
      <w:r w:rsidR="00DF290F" w:rsidRPr="00F14E08">
        <w:rPr>
          <w:rFonts w:ascii="Tw Cen MT" w:hAnsi="Tw Cen MT"/>
        </w:rPr>
        <w:t>61</w:t>
      </w:r>
      <w:r w:rsidR="00D8100B" w:rsidRPr="00F14E08">
        <w:rPr>
          <w:rFonts w:ascii="Tw Cen MT" w:hAnsi="Tw Cen MT"/>
        </w:rPr>
        <w:t xml:space="preserve"> </w:t>
      </w:r>
      <w:r w:rsidRPr="00F14E08">
        <w:rPr>
          <w:rFonts w:ascii="Tw Cen MT" w:hAnsi="Tw Cen MT"/>
        </w:rPr>
        <w:t xml:space="preserve">at this time. </w:t>
      </w:r>
      <w:r w:rsidR="00603590" w:rsidRPr="00F14E08">
        <w:rPr>
          <w:rFonts w:ascii="Tw Cen MT" w:hAnsi="Tw Cen MT"/>
        </w:rPr>
        <w:t>Students</w:t>
      </w:r>
      <w:r w:rsidR="000712ED" w:rsidRPr="00F14E08">
        <w:rPr>
          <w:rFonts w:ascii="Tw Cen MT" w:hAnsi="Tw Cen MT"/>
        </w:rPr>
        <w:t xml:space="preserve"> scored well on assignments and reported that they felt their professional skills had enhanced </w:t>
      </w:r>
      <w:r w:rsidR="00710DE2" w:rsidRPr="00F14E08">
        <w:rPr>
          <w:rFonts w:ascii="Tw Cen MT" w:hAnsi="Tw Cen MT"/>
        </w:rPr>
        <w:t>“significantly” compared to when the semester had started as a</w:t>
      </w:r>
      <w:r w:rsidR="00683067" w:rsidRPr="00F14E08">
        <w:rPr>
          <w:rFonts w:ascii="Tw Cen MT" w:hAnsi="Tw Cen MT"/>
        </w:rPr>
        <w:t xml:space="preserve"> direct</w:t>
      </w:r>
      <w:r w:rsidR="00710DE2" w:rsidRPr="00F14E08">
        <w:rPr>
          <w:rFonts w:ascii="Tw Cen MT" w:hAnsi="Tw Cen MT"/>
        </w:rPr>
        <w:t xml:space="preserve"> res</w:t>
      </w:r>
      <w:r w:rsidR="00C20D2B" w:rsidRPr="00F14E08">
        <w:rPr>
          <w:rFonts w:ascii="Tw Cen MT" w:hAnsi="Tw Cen MT"/>
        </w:rPr>
        <w:t xml:space="preserve">ult of </w:t>
      </w:r>
      <w:r w:rsidR="00746A7F" w:rsidRPr="00F14E08">
        <w:rPr>
          <w:rFonts w:ascii="Tw Cen MT" w:hAnsi="Tw Cen MT"/>
        </w:rPr>
        <w:t xml:space="preserve">the personal skill building goals they identified and monitored, </w:t>
      </w:r>
      <w:r w:rsidR="00C20D2B" w:rsidRPr="00F14E08">
        <w:rPr>
          <w:rFonts w:ascii="Tw Cen MT" w:hAnsi="Tw Cen MT"/>
        </w:rPr>
        <w:t>the practice simulations</w:t>
      </w:r>
      <w:r w:rsidR="00746A7F" w:rsidRPr="00F14E08">
        <w:rPr>
          <w:rFonts w:ascii="Tw Cen MT" w:hAnsi="Tw Cen MT"/>
        </w:rPr>
        <w:t>,</w:t>
      </w:r>
      <w:r w:rsidR="00C20D2B" w:rsidRPr="00F14E08">
        <w:rPr>
          <w:rFonts w:ascii="Tw Cen MT" w:hAnsi="Tw Cen MT"/>
        </w:rPr>
        <w:t xml:space="preserve"> and </w:t>
      </w:r>
      <w:r w:rsidR="002F0295" w:rsidRPr="00F14E08">
        <w:rPr>
          <w:rFonts w:ascii="Tw Cen MT" w:hAnsi="Tw Cen MT"/>
        </w:rPr>
        <w:t xml:space="preserve">the </w:t>
      </w:r>
      <w:r w:rsidR="00C20D2B" w:rsidRPr="00F14E08">
        <w:rPr>
          <w:rFonts w:ascii="Tw Cen MT" w:hAnsi="Tw Cen MT"/>
        </w:rPr>
        <w:t xml:space="preserve">opportunity to work with a real client throughout the semester. </w:t>
      </w:r>
    </w:p>
    <w:p w14:paraId="374ECCC0" w14:textId="77777777" w:rsidR="000427E8" w:rsidRDefault="000427E8" w:rsidP="002E45C4"/>
    <w:p w14:paraId="29C4508C" w14:textId="6E6D7708" w:rsidR="00017716" w:rsidRPr="004B66CE" w:rsidRDefault="3D64F4BF" w:rsidP="004B66CE">
      <w:pPr>
        <w:ind w:left="-270"/>
        <w:rPr>
          <w:rFonts w:ascii="Tw Cen MT" w:hAnsi="Tw Cen MT"/>
          <w:b/>
          <w:szCs w:val="22"/>
        </w:rPr>
      </w:pPr>
      <w:r w:rsidRPr="3D64F4BF">
        <w:rPr>
          <w:rFonts w:ascii="Tw Cen MT" w:eastAsia="Tw Cen MT" w:hAnsi="Tw Cen MT" w:cs="Tw Cen MT"/>
          <w:b/>
          <w:bCs/>
        </w:rPr>
        <w:t>Summary of this Report</w:t>
      </w:r>
    </w:p>
    <w:p w14:paraId="215E90ED" w14:textId="3CCB98BB" w:rsidR="00735A26" w:rsidRDefault="5A5FDA56" w:rsidP="008A11A3">
      <w:pPr>
        <w:rPr>
          <w:rFonts w:ascii="Tw Cen MT" w:eastAsia="Tw Cen MT" w:hAnsi="Tw Cen MT" w:cs="Tw Cen MT"/>
          <w:i/>
        </w:rPr>
      </w:pPr>
      <w:r w:rsidRPr="5A5FDA56">
        <w:rPr>
          <w:rFonts w:ascii="Tw Cen MT" w:eastAsia="Tw Cen MT" w:hAnsi="Tw Cen MT" w:cs="Tw Cen MT"/>
        </w:rPr>
        <w:t xml:space="preserve">A </w:t>
      </w:r>
      <w:r w:rsidR="008A11A3" w:rsidRPr="5A5FDA56">
        <w:rPr>
          <w:rFonts w:ascii="Tw Cen MT" w:eastAsia="Tw Cen MT" w:hAnsi="Tw Cen MT" w:cs="Tw Cen MT"/>
        </w:rPr>
        <w:t>one-paragraph</w:t>
      </w:r>
      <w:r w:rsidRPr="5A5FDA56">
        <w:rPr>
          <w:rFonts w:ascii="Tw Cen MT" w:eastAsia="Tw Cen MT" w:hAnsi="Tw Cen MT" w:cs="Tw Cen MT"/>
        </w:rPr>
        <w:t xml:space="preserve"> summary</w:t>
      </w:r>
      <w:r w:rsidRPr="5A5FDA56">
        <w:rPr>
          <w:rFonts w:ascii="Tw Cen MT" w:eastAsia="Tw Cen MT" w:hAnsi="Tw Cen MT" w:cs="Tw Cen MT"/>
          <w:b/>
          <w:bCs/>
        </w:rPr>
        <w:t> </w:t>
      </w:r>
      <w:r w:rsidR="008A11A3">
        <w:rPr>
          <w:rFonts w:ascii="Tw Cen MT" w:eastAsia="Tw Cen MT" w:hAnsi="Tw Cen MT" w:cs="Tw Cen MT"/>
        </w:rPr>
        <w:t>to be</w:t>
      </w:r>
      <w:r w:rsidRPr="5A5FDA56">
        <w:rPr>
          <w:rFonts w:ascii="Tw Cen MT" w:eastAsia="Tw Cen MT" w:hAnsi="Tw Cen MT" w:cs="Tw Cen MT"/>
        </w:rPr>
        <w:t xml:space="preserve"> </w:t>
      </w:r>
      <w:r w:rsidR="008A11A3">
        <w:rPr>
          <w:rFonts w:ascii="Tw Cen MT" w:eastAsia="Tw Cen MT" w:hAnsi="Tw Cen MT" w:cs="Tw Cen MT"/>
        </w:rPr>
        <w:t>posted</w:t>
      </w:r>
      <w:r w:rsidRPr="5A5FDA56">
        <w:rPr>
          <w:rFonts w:ascii="Tw Cen MT" w:eastAsia="Tw Cen MT" w:hAnsi="Tw Cen MT" w:cs="Tw Cen MT"/>
        </w:rPr>
        <w:t xml:space="preserve"> on your program website and details student achievement of y</w:t>
      </w:r>
      <w:r w:rsidR="008A11A3">
        <w:rPr>
          <w:rFonts w:ascii="Tw Cen MT" w:eastAsia="Tw Cen MT" w:hAnsi="Tw Cen MT" w:cs="Tw Cen MT"/>
        </w:rPr>
        <w:t xml:space="preserve">our program's learning outcomes, as well as </w:t>
      </w:r>
      <w:r w:rsidRPr="5A5FDA56">
        <w:rPr>
          <w:rFonts w:ascii="Tw Cen MT" w:eastAsia="Tw Cen MT" w:hAnsi="Tw Cen MT" w:cs="Tw Cen MT"/>
        </w:rPr>
        <w:t>programmatic efforts to improve. </w:t>
      </w:r>
      <w:r w:rsidR="008A11A3" w:rsidRPr="008A11A3">
        <w:rPr>
          <w:rFonts w:ascii="Tw Cen MT" w:eastAsia="Tw Cen MT" w:hAnsi="Tw Cen MT" w:cs="Tw Cen MT"/>
          <w:i/>
        </w:rPr>
        <w:t>If this report occurs during</w:t>
      </w:r>
      <w:r w:rsidRPr="008A11A3">
        <w:rPr>
          <w:rFonts w:ascii="Tw Cen MT" w:eastAsia="Tw Cen MT" w:hAnsi="Tw Cen MT" w:cs="Tw Cen MT"/>
          <w:i/>
        </w:rPr>
        <w:t xml:space="preserve"> the Board of Regents Program Review, </w:t>
      </w:r>
      <w:r w:rsidR="00F80B86">
        <w:rPr>
          <w:rFonts w:ascii="Tw Cen MT" w:eastAsia="Tw Cen MT" w:hAnsi="Tw Cen MT" w:cs="Tw Cen MT"/>
          <w:i/>
        </w:rPr>
        <w:t>this</w:t>
      </w:r>
      <w:r w:rsidRPr="008A11A3">
        <w:rPr>
          <w:rFonts w:ascii="Tw Cen MT" w:eastAsia="Tw Cen MT" w:hAnsi="Tw Cen MT" w:cs="Tw Cen MT"/>
          <w:i/>
        </w:rPr>
        <w:t xml:space="preserve"> </w:t>
      </w:r>
      <w:r w:rsidR="008A11A3" w:rsidRPr="008A11A3">
        <w:rPr>
          <w:rFonts w:ascii="Tw Cen MT" w:eastAsia="Tw Cen MT" w:hAnsi="Tw Cen MT" w:cs="Tw Cen MT"/>
          <w:i/>
        </w:rPr>
        <w:t xml:space="preserve">paragraph </w:t>
      </w:r>
      <w:r w:rsidRPr="008A11A3">
        <w:rPr>
          <w:rFonts w:ascii="Tw Cen MT" w:eastAsia="Tw Cen MT" w:hAnsi="Tw Cen MT" w:cs="Tw Cen MT"/>
          <w:i/>
        </w:rPr>
        <w:t xml:space="preserve">will be </w:t>
      </w:r>
      <w:r w:rsidR="008A11A3" w:rsidRPr="008A11A3">
        <w:rPr>
          <w:rFonts w:ascii="Tw Cen MT" w:eastAsia="Tw Cen MT" w:hAnsi="Tw Cen MT" w:cs="Tw Cen MT"/>
          <w:i/>
        </w:rPr>
        <w:t>the</w:t>
      </w:r>
      <w:r w:rsidRPr="008A11A3">
        <w:rPr>
          <w:rFonts w:ascii="Tw Cen MT" w:eastAsia="Tw Cen MT" w:hAnsi="Tw Cen MT" w:cs="Tw Cen MT"/>
          <w:i/>
        </w:rPr>
        <w:t xml:space="preserve"> 8-year summary include</w:t>
      </w:r>
      <w:r w:rsidR="008A11A3" w:rsidRPr="008A11A3">
        <w:rPr>
          <w:rFonts w:ascii="Tw Cen MT" w:eastAsia="Tw Cen MT" w:hAnsi="Tw Cen MT" w:cs="Tw Cen MT"/>
          <w:i/>
        </w:rPr>
        <w:t>d</w:t>
      </w:r>
      <w:r w:rsidRPr="008A11A3">
        <w:rPr>
          <w:rFonts w:ascii="Tw Cen MT" w:eastAsia="Tw Cen MT" w:hAnsi="Tw Cen MT" w:cs="Tw Cen MT"/>
          <w:i/>
        </w:rPr>
        <w:t xml:space="preserve"> in </w:t>
      </w:r>
      <w:r w:rsidR="00F80B86">
        <w:rPr>
          <w:rFonts w:ascii="Tw Cen MT" w:eastAsia="Tw Cen MT" w:hAnsi="Tw Cen MT" w:cs="Tw Cen MT"/>
          <w:i/>
        </w:rPr>
        <w:t>S</w:t>
      </w:r>
      <w:r w:rsidR="008A11A3" w:rsidRPr="008A11A3">
        <w:rPr>
          <w:rFonts w:ascii="Tw Cen MT" w:eastAsia="Tw Cen MT" w:hAnsi="Tw Cen MT" w:cs="Tw Cen MT"/>
          <w:i/>
        </w:rPr>
        <w:t xml:space="preserve">ection 3 of </w:t>
      </w:r>
      <w:r w:rsidRPr="008A11A3">
        <w:rPr>
          <w:rFonts w:ascii="Tw Cen MT" w:eastAsia="Tw Cen MT" w:hAnsi="Tw Cen MT" w:cs="Tw Cen MT"/>
          <w:i/>
        </w:rPr>
        <w:t>your Program Review Report (PRR).</w:t>
      </w:r>
    </w:p>
    <w:p w14:paraId="0FC50DF9" w14:textId="77777777" w:rsidR="009F1D98" w:rsidRDefault="009F1D98" w:rsidP="008A11A3">
      <w:pPr>
        <w:rPr>
          <w:rFonts w:ascii="Tw Cen MT" w:eastAsia="Tw Cen MT" w:hAnsi="Tw Cen MT" w:cs="Tw Cen MT"/>
          <w:i/>
        </w:rPr>
      </w:pPr>
    </w:p>
    <w:p w14:paraId="7619514A" w14:textId="1EB374A4" w:rsidR="00E13246" w:rsidRPr="00F14E08" w:rsidRDefault="009A51F8" w:rsidP="008A11A3">
      <w:pPr>
        <w:rPr>
          <w:rFonts w:ascii="Tw Cen MT" w:hAnsi="Tw Cen MT"/>
        </w:rPr>
      </w:pPr>
      <w:r w:rsidRPr="00F14E08">
        <w:rPr>
          <w:rFonts w:ascii="Tw Cen MT" w:hAnsi="Tw Cen MT"/>
        </w:rPr>
        <w:t xml:space="preserve">The </w:t>
      </w:r>
      <w:r w:rsidR="00D366A7" w:rsidRPr="00F14E08">
        <w:rPr>
          <w:rFonts w:ascii="Tw Cen MT" w:hAnsi="Tw Cen MT"/>
        </w:rPr>
        <w:t>Addiction Counseling</w:t>
      </w:r>
      <w:r w:rsidRPr="00F14E08">
        <w:rPr>
          <w:rFonts w:ascii="Tw Cen MT" w:hAnsi="Tw Cen MT"/>
        </w:rPr>
        <w:t xml:space="preserve"> Program’s 202</w:t>
      </w:r>
      <w:r w:rsidR="00D366A7" w:rsidRPr="00F14E08">
        <w:rPr>
          <w:rFonts w:ascii="Tw Cen MT" w:hAnsi="Tw Cen MT"/>
        </w:rPr>
        <w:t>3</w:t>
      </w:r>
      <w:r w:rsidRPr="00F14E08">
        <w:rPr>
          <w:rFonts w:ascii="Tw Cen MT" w:hAnsi="Tw Cen MT"/>
        </w:rPr>
        <w:t>-202</w:t>
      </w:r>
      <w:r w:rsidR="00D366A7" w:rsidRPr="00F14E08">
        <w:rPr>
          <w:rFonts w:ascii="Tw Cen MT" w:hAnsi="Tw Cen MT"/>
        </w:rPr>
        <w:t>4</w:t>
      </w:r>
      <w:r w:rsidRPr="00F14E08">
        <w:rPr>
          <w:rFonts w:ascii="Tw Cen MT" w:hAnsi="Tw Cen MT"/>
        </w:rPr>
        <w:t xml:space="preserve"> assessment data revealed </w:t>
      </w:r>
      <w:r w:rsidR="002B1C01" w:rsidRPr="00F14E08">
        <w:rPr>
          <w:rFonts w:ascii="Tw Cen MT" w:hAnsi="Tw Cen MT"/>
        </w:rPr>
        <w:t>we</w:t>
      </w:r>
      <w:r w:rsidRPr="00F14E08">
        <w:rPr>
          <w:rFonts w:ascii="Tw Cen MT" w:hAnsi="Tw Cen MT"/>
        </w:rPr>
        <w:t xml:space="preserve"> accomplished our goal of a minimum of 90% of </w:t>
      </w:r>
      <w:r w:rsidR="003F47C6" w:rsidRPr="00F14E08">
        <w:rPr>
          <w:rFonts w:ascii="Tw Cen MT" w:hAnsi="Tw Cen MT"/>
        </w:rPr>
        <w:t>addiction counseling</w:t>
      </w:r>
      <w:r w:rsidRPr="00F14E08">
        <w:rPr>
          <w:rFonts w:ascii="Tw Cen MT" w:hAnsi="Tw Cen MT"/>
        </w:rPr>
        <w:t xml:space="preserve"> students meeting or exceeding expectations for </w:t>
      </w:r>
      <w:r w:rsidR="003F47C6" w:rsidRPr="00F14E08">
        <w:rPr>
          <w:rFonts w:ascii="Tw Cen MT" w:hAnsi="Tw Cen MT"/>
        </w:rPr>
        <w:t xml:space="preserve">two of our five Student Learning Objectives. </w:t>
      </w:r>
      <w:r w:rsidR="00FB7731" w:rsidRPr="00F14E08">
        <w:rPr>
          <w:rFonts w:ascii="Tw Cen MT" w:hAnsi="Tw Cen MT"/>
        </w:rPr>
        <w:t xml:space="preserve">While this preliminary data was based solely on </w:t>
      </w:r>
      <w:r w:rsidR="00BE22C2" w:rsidRPr="00F14E08">
        <w:rPr>
          <w:rFonts w:ascii="Tw Cen MT" w:hAnsi="Tw Cen MT"/>
        </w:rPr>
        <w:t xml:space="preserve">two initial course offerings of the new degree program, it </w:t>
      </w:r>
      <w:r w:rsidR="00E91D09" w:rsidRPr="00F14E08">
        <w:rPr>
          <w:rFonts w:ascii="Tw Cen MT" w:hAnsi="Tw Cen MT"/>
        </w:rPr>
        <w:t xml:space="preserve">demonstrated which assessment measures </w:t>
      </w:r>
      <w:r w:rsidR="00774F5F" w:rsidRPr="00F14E08">
        <w:rPr>
          <w:rFonts w:ascii="Tw Cen MT" w:hAnsi="Tw Cen MT"/>
        </w:rPr>
        <w:t>these two courses</w:t>
      </w:r>
      <w:r w:rsidR="00E91D09" w:rsidRPr="00F14E08">
        <w:rPr>
          <w:rFonts w:ascii="Tw Cen MT" w:hAnsi="Tw Cen MT"/>
        </w:rPr>
        <w:t xml:space="preserve"> are meeting a</w:t>
      </w:r>
      <w:r w:rsidR="008C67F4" w:rsidRPr="00F14E08">
        <w:rPr>
          <w:rFonts w:ascii="Tw Cen MT" w:hAnsi="Tw Cen MT"/>
        </w:rPr>
        <w:t xml:space="preserve">nd what changes we can make to better prepare future students. </w:t>
      </w:r>
      <w:r w:rsidR="00D14D04" w:rsidRPr="00F14E08">
        <w:rPr>
          <w:rFonts w:ascii="Tw Cen MT" w:hAnsi="Tw Cen MT"/>
        </w:rPr>
        <w:t xml:space="preserve">When each individual measure is evaluated, only one of the 13 measures produced results </w:t>
      </w:r>
      <w:r w:rsidR="00280314" w:rsidRPr="00F14E08">
        <w:rPr>
          <w:rFonts w:ascii="Tw Cen MT" w:hAnsi="Tw Cen MT"/>
        </w:rPr>
        <w:t>were</w:t>
      </w:r>
      <w:r w:rsidR="00D14D04" w:rsidRPr="00F14E08">
        <w:rPr>
          <w:rFonts w:ascii="Tw Cen MT" w:hAnsi="Tw Cen MT"/>
        </w:rPr>
        <w:t xml:space="preserve"> less than </w:t>
      </w:r>
      <w:r w:rsidR="00280314" w:rsidRPr="00F14E08">
        <w:rPr>
          <w:rFonts w:ascii="Tw Cen MT" w:hAnsi="Tw Cen MT"/>
        </w:rPr>
        <w:t>80</w:t>
      </w:r>
      <w:r w:rsidR="00D14D04" w:rsidRPr="00F14E08">
        <w:rPr>
          <w:rFonts w:ascii="Tw Cen MT" w:hAnsi="Tw Cen MT"/>
        </w:rPr>
        <w:t>% of students demonstrated mastery skills.</w:t>
      </w:r>
      <w:r w:rsidR="002F0295" w:rsidRPr="00F14E08">
        <w:rPr>
          <w:rFonts w:ascii="Tw Cen MT" w:hAnsi="Tw Cen MT"/>
        </w:rPr>
        <w:t xml:space="preserve"> </w:t>
      </w:r>
      <w:r w:rsidR="00843271" w:rsidRPr="00F14E08">
        <w:rPr>
          <w:rFonts w:ascii="Tw Cen MT" w:hAnsi="Tw Cen MT"/>
        </w:rPr>
        <w:t>Our primary objective</w:t>
      </w:r>
      <w:r w:rsidR="009D3076" w:rsidRPr="00F14E08">
        <w:rPr>
          <w:rFonts w:ascii="Tw Cen MT" w:hAnsi="Tw Cen MT"/>
        </w:rPr>
        <w:t>s</w:t>
      </w:r>
      <w:r w:rsidR="00843271" w:rsidRPr="00F14E08">
        <w:rPr>
          <w:rFonts w:ascii="Tw Cen MT" w:hAnsi="Tw Cen MT"/>
        </w:rPr>
        <w:t xml:space="preserve"> when looking towards 202</w:t>
      </w:r>
      <w:r w:rsidR="00280314" w:rsidRPr="00F14E08">
        <w:rPr>
          <w:rFonts w:ascii="Tw Cen MT" w:hAnsi="Tw Cen MT"/>
        </w:rPr>
        <w:t>4</w:t>
      </w:r>
      <w:r w:rsidR="00843271" w:rsidRPr="00F14E08">
        <w:rPr>
          <w:rFonts w:ascii="Tw Cen MT" w:hAnsi="Tw Cen MT"/>
        </w:rPr>
        <w:t>-202</w:t>
      </w:r>
      <w:r w:rsidR="00280314" w:rsidRPr="00F14E08">
        <w:rPr>
          <w:rFonts w:ascii="Tw Cen MT" w:hAnsi="Tw Cen MT"/>
        </w:rPr>
        <w:t>5</w:t>
      </w:r>
      <w:r w:rsidR="00843271" w:rsidRPr="00F14E08">
        <w:rPr>
          <w:rFonts w:ascii="Tw Cen MT" w:hAnsi="Tw Cen MT"/>
        </w:rPr>
        <w:t xml:space="preserve"> will be to </w:t>
      </w:r>
      <w:r w:rsidR="00E13246" w:rsidRPr="00F14E08">
        <w:rPr>
          <w:rFonts w:ascii="Tw Cen MT" w:hAnsi="Tw Cen MT"/>
        </w:rPr>
        <w:t>launch and evaluate the remaining courses that make up the new Addiction Counseling degree</w:t>
      </w:r>
      <w:r w:rsidR="007D1A7E" w:rsidRPr="00F14E08">
        <w:rPr>
          <w:rFonts w:ascii="Tw Cen MT" w:hAnsi="Tw Cen MT"/>
        </w:rPr>
        <w:t xml:space="preserve"> and </w:t>
      </w:r>
      <w:r w:rsidR="009A1A2B" w:rsidRPr="00F14E08">
        <w:rPr>
          <w:rFonts w:ascii="Tw Cen MT" w:hAnsi="Tw Cen MT"/>
        </w:rPr>
        <w:t>recruit additional instructors</w:t>
      </w:r>
      <w:r w:rsidR="00074D73" w:rsidRPr="00F14E08">
        <w:rPr>
          <w:rFonts w:ascii="Tw Cen MT" w:hAnsi="Tw Cen MT"/>
        </w:rPr>
        <w:t xml:space="preserve"> to teach these courses. </w:t>
      </w:r>
    </w:p>
    <w:p w14:paraId="5CF133E1" w14:textId="77777777" w:rsidR="00E13246" w:rsidRDefault="00E13246" w:rsidP="008A11A3"/>
    <w:p w14:paraId="076630EA" w14:textId="77777777" w:rsidR="005E3644" w:rsidRPr="009F1D98" w:rsidRDefault="005E3644" w:rsidP="008A11A3">
      <w:pPr>
        <w:rPr>
          <w:rFonts w:ascii="Tw Cen MT" w:hAnsi="Tw Cen MT"/>
          <w:b/>
          <w:iCs/>
          <w:szCs w:val="22"/>
        </w:rPr>
      </w:pPr>
    </w:p>
    <w:sectPr w:rsidR="005E3644" w:rsidRPr="009F1D98" w:rsidSect="004B66CE">
      <w:pgSz w:w="12240" w:h="15840" w:code="1"/>
      <w:pgMar w:top="630" w:right="90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3C41F" w14:textId="77777777" w:rsidR="00BE4386" w:rsidRDefault="00BE4386">
      <w:r>
        <w:separator/>
      </w:r>
    </w:p>
  </w:endnote>
  <w:endnote w:type="continuationSeparator" w:id="0">
    <w:p w14:paraId="1FD94F3F" w14:textId="77777777" w:rsidR="00BE4386" w:rsidRDefault="00BE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C557A" w14:textId="77777777" w:rsidR="00BE4386" w:rsidRDefault="00BE4386">
      <w:r>
        <w:separator/>
      </w:r>
    </w:p>
  </w:footnote>
  <w:footnote w:type="continuationSeparator" w:id="0">
    <w:p w14:paraId="6BF0819C" w14:textId="77777777" w:rsidR="00BE4386" w:rsidRDefault="00BE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17DDA"/>
    <w:multiLevelType w:val="hybridMultilevel"/>
    <w:tmpl w:val="65606DC0"/>
    <w:lvl w:ilvl="0" w:tplc="027490C6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49D40F34"/>
    <w:multiLevelType w:val="hybridMultilevel"/>
    <w:tmpl w:val="F606D9E8"/>
    <w:lvl w:ilvl="0" w:tplc="3CB07C9A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48984B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BD6600"/>
    <w:multiLevelType w:val="hybridMultilevel"/>
    <w:tmpl w:val="B82E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52B14"/>
    <w:multiLevelType w:val="hybridMultilevel"/>
    <w:tmpl w:val="CF9C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201186">
    <w:abstractNumId w:val="1"/>
  </w:num>
  <w:num w:numId="2" w16cid:durableId="1105034143">
    <w:abstractNumId w:val="3"/>
  </w:num>
  <w:num w:numId="3" w16cid:durableId="840781137">
    <w:abstractNumId w:val="2"/>
  </w:num>
  <w:num w:numId="4" w16cid:durableId="178796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8B"/>
    <w:rsid w:val="00003AAC"/>
    <w:rsid w:val="0001190F"/>
    <w:rsid w:val="00012FF3"/>
    <w:rsid w:val="00017716"/>
    <w:rsid w:val="00020C74"/>
    <w:rsid w:val="00027CC8"/>
    <w:rsid w:val="0003244E"/>
    <w:rsid w:val="000427E8"/>
    <w:rsid w:val="00044D08"/>
    <w:rsid w:val="00053E39"/>
    <w:rsid w:val="000601B8"/>
    <w:rsid w:val="00060F47"/>
    <w:rsid w:val="0006756D"/>
    <w:rsid w:val="000712ED"/>
    <w:rsid w:val="00074D73"/>
    <w:rsid w:val="00091493"/>
    <w:rsid w:val="00091D47"/>
    <w:rsid w:val="00093E92"/>
    <w:rsid w:val="000967CB"/>
    <w:rsid w:val="000A752C"/>
    <w:rsid w:val="000C037F"/>
    <w:rsid w:val="000C183F"/>
    <w:rsid w:val="000C1D77"/>
    <w:rsid w:val="000C3325"/>
    <w:rsid w:val="000D5866"/>
    <w:rsid w:val="00126C2C"/>
    <w:rsid w:val="001832A9"/>
    <w:rsid w:val="00194AF3"/>
    <w:rsid w:val="001A11AA"/>
    <w:rsid w:val="001A38EF"/>
    <w:rsid w:val="001A4F5B"/>
    <w:rsid w:val="001B46DC"/>
    <w:rsid w:val="001B691D"/>
    <w:rsid w:val="001D3E9A"/>
    <w:rsid w:val="001D75EA"/>
    <w:rsid w:val="001E774B"/>
    <w:rsid w:val="00200781"/>
    <w:rsid w:val="002008A8"/>
    <w:rsid w:val="0020262F"/>
    <w:rsid w:val="002049C3"/>
    <w:rsid w:val="00211E42"/>
    <w:rsid w:val="002234F1"/>
    <w:rsid w:val="0023208B"/>
    <w:rsid w:val="00242039"/>
    <w:rsid w:val="00242A5E"/>
    <w:rsid w:val="00244AE4"/>
    <w:rsid w:val="00245C6A"/>
    <w:rsid w:val="002506EE"/>
    <w:rsid w:val="00250A2D"/>
    <w:rsid w:val="00255CB4"/>
    <w:rsid w:val="002575DB"/>
    <w:rsid w:val="00262914"/>
    <w:rsid w:val="00272FE8"/>
    <w:rsid w:val="00280314"/>
    <w:rsid w:val="00297B9C"/>
    <w:rsid w:val="002B18EB"/>
    <w:rsid w:val="002B1C01"/>
    <w:rsid w:val="002B264B"/>
    <w:rsid w:val="002B39A9"/>
    <w:rsid w:val="002B45F8"/>
    <w:rsid w:val="002B76FF"/>
    <w:rsid w:val="002C62B1"/>
    <w:rsid w:val="002D75B6"/>
    <w:rsid w:val="002D7B42"/>
    <w:rsid w:val="002E45C4"/>
    <w:rsid w:val="002E70CE"/>
    <w:rsid w:val="002F0295"/>
    <w:rsid w:val="002F320B"/>
    <w:rsid w:val="002F4275"/>
    <w:rsid w:val="0030021D"/>
    <w:rsid w:val="003014A2"/>
    <w:rsid w:val="003053E4"/>
    <w:rsid w:val="00310D75"/>
    <w:rsid w:val="003158C5"/>
    <w:rsid w:val="00315DDC"/>
    <w:rsid w:val="00332640"/>
    <w:rsid w:val="00334BA3"/>
    <w:rsid w:val="003479AA"/>
    <w:rsid w:val="00351AA7"/>
    <w:rsid w:val="00356C11"/>
    <w:rsid w:val="003619DA"/>
    <w:rsid w:val="003640B4"/>
    <w:rsid w:val="00373991"/>
    <w:rsid w:val="00375BE9"/>
    <w:rsid w:val="00392A89"/>
    <w:rsid w:val="003A0B53"/>
    <w:rsid w:val="003A1459"/>
    <w:rsid w:val="003D0E0A"/>
    <w:rsid w:val="003E63F4"/>
    <w:rsid w:val="003F3E60"/>
    <w:rsid w:val="003F47C6"/>
    <w:rsid w:val="003F5797"/>
    <w:rsid w:val="00401331"/>
    <w:rsid w:val="004076B9"/>
    <w:rsid w:val="00414C0A"/>
    <w:rsid w:val="00417539"/>
    <w:rsid w:val="0043728D"/>
    <w:rsid w:val="004628EF"/>
    <w:rsid w:val="00476A78"/>
    <w:rsid w:val="00481C7B"/>
    <w:rsid w:val="004851A5"/>
    <w:rsid w:val="00487613"/>
    <w:rsid w:val="0049348C"/>
    <w:rsid w:val="00494026"/>
    <w:rsid w:val="004A16CB"/>
    <w:rsid w:val="004B66CE"/>
    <w:rsid w:val="004E0EF0"/>
    <w:rsid w:val="004E1E23"/>
    <w:rsid w:val="004F6821"/>
    <w:rsid w:val="004F79E4"/>
    <w:rsid w:val="0050001A"/>
    <w:rsid w:val="0050243A"/>
    <w:rsid w:val="00502962"/>
    <w:rsid w:val="00514774"/>
    <w:rsid w:val="005212E7"/>
    <w:rsid w:val="00532E92"/>
    <w:rsid w:val="00562CCA"/>
    <w:rsid w:val="00567278"/>
    <w:rsid w:val="00597B2D"/>
    <w:rsid w:val="005A378B"/>
    <w:rsid w:val="005A4BAE"/>
    <w:rsid w:val="005B6103"/>
    <w:rsid w:val="005D34C2"/>
    <w:rsid w:val="005D51E3"/>
    <w:rsid w:val="005E157F"/>
    <w:rsid w:val="005E3644"/>
    <w:rsid w:val="005E3FCB"/>
    <w:rsid w:val="005F1B57"/>
    <w:rsid w:val="005F542B"/>
    <w:rsid w:val="00603590"/>
    <w:rsid w:val="0061613F"/>
    <w:rsid w:val="006212E0"/>
    <w:rsid w:val="00623084"/>
    <w:rsid w:val="00631CC3"/>
    <w:rsid w:val="006328CF"/>
    <w:rsid w:val="006362C1"/>
    <w:rsid w:val="00661DA5"/>
    <w:rsid w:val="00683067"/>
    <w:rsid w:val="006A2929"/>
    <w:rsid w:val="006B159D"/>
    <w:rsid w:val="006C644C"/>
    <w:rsid w:val="006D7C8B"/>
    <w:rsid w:val="006E745D"/>
    <w:rsid w:val="006F5C48"/>
    <w:rsid w:val="00703011"/>
    <w:rsid w:val="007030F1"/>
    <w:rsid w:val="00710DE2"/>
    <w:rsid w:val="00712875"/>
    <w:rsid w:val="00735A26"/>
    <w:rsid w:val="00745CEA"/>
    <w:rsid w:val="00746A7F"/>
    <w:rsid w:val="00773608"/>
    <w:rsid w:val="00774F5F"/>
    <w:rsid w:val="00781B41"/>
    <w:rsid w:val="00783DA8"/>
    <w:rsid w:val="00797DB3"/>
    <w:rsid w:val="007A33A6"/>
    <w:rsid w:val="007A4F85"/>
    <w:rsid w:val="007C1651"/>
    <w:rsid w:val="007C494C"/>
    <w:rsid w:val="007C5198"/>
    <w:rsid w:val="007D1A7E"/>
    <w:rsid w:val="007D4A62"/>
    <w:rsid w:val="007D5845"/>
    <w:rsid w:val="007F46DB"/>
    <w:rsid w:val="00826106"/>
    <w:rsid w:val="00834A83"/>
    <w:rsid w:val="008430BD"/>
    <w:rsid w:val="00843271"/>
    <w:rsid w:val="00850D52"/>
    <w:rsid w:val="00855110"/>
    <w:rsid w:val="008631C4"/>
    <w:rsid w:val="0086361C"/>
    <w:rsid w:val="00864E26"/>
    <w:rsid w:val="00872CE5"/>
    <w:rsid w:val="008811ED"/>
    <w:rsid w:val="00882C35"/>
    <w:rsid w:val="0088597A"/>
    <w:rsid w:val="00891308"/>
    <w:rsid w:val="008A11A3"/>
    <w:rsid w:val="008A32A7"/>
    <w:rsid w:val="008C2EBB"/>
    <w:rsid w:val="008C67F4"/>
    <w:rsid w:val="008D39AC"/>
    <w:rsid w:val="008D5D1A"/>
    <w:rsid w:val="008D77C4"/>
    <w:rsid w:val="008E1860"/>
    <w:rsid w:val="008F1524"/>
    <w:rsid w:val="008F503A"/>
    <w:rsid w:val="00905EA1"/>
    <w:rsid w:val="00917A69"/>
    <w:rsid w:val="00922C84"/>
    <w:rsid w:val="00923167"/>
    <w:rsid w:val="00927564"/>
    <w:rsid w:val="00933D84"/>
    <w:rsid w:val="00937C6D"/>
    <w:rsid w:val="0094282E"/>
    <w:rsid w:val="00944067"/>
    <w:rsid w:val="00954C25"/>
    <w:rsid w:val="00961BB1"/>
    <w:rsid w:val="00973D00"/>
    <w:rsid w:val="0098269E"/>
    <w:rsid w:val="009842C5"/>
    <w:rsid w:val="0099768A"/>
    <w:rsid w:val="009A0DA9"/>
    <w:rsid w:val="009A1A2B"/>
    <w:rsid w:val="009A51F8"/>
    <w:rsid w:val="009C0E6F"/>
    <w:rsid w:val="009D3076"/>
    <w:rsid w:val="009E17D1"/>
    <w:rsid w:val="009E4183"/>
    <w:rsid w:val="009F1834"/>
    <w:rsid w:val="009F1D98"/>
    <w:rsid w:val="00A10A61"/>
    <w:rsid w:val="00A21C05"/>
    <w:rsid w:val="00A25433"/>
    <w:rsid w:val="00A40D78"/>
    <w:rsid w:val="00A47419"/>
    <w:rsid w:val="00A50797"/>
    <w:rsid w:val="00A659DA"/>
    <w:rsid w:val="00A666C6"/>
    <w:rsid w:val="00A66F07"/>
    <w:rsid w:val="00A93CB1"/>
    <w:rsid w:val="00A94109"/>
    <w:rsid w:val="00A9674A"/>
    <w:rsid w:val="00AA059B"/>
    <w:rsid w:val="00AA276F"/>
    <w:rsid w:val="00AA5248"/>
    <w:rsid w:val="00AB3B4A"/>
    <w:rsid w:val="00AC3C97"/>
    <w:rsid w:val="00AC4679"/>
    <w:rsid w:val="00AD027A"/>
    <w:rsid w:val="00AD2A1F"/>
    <w:rsid w:val="00AE5460"/>
    <w:rsid w:val="00AE686D"/>
    <w:rsid w:val="00AF508C"/>
    <w:rsid w:val="00B0749E"/>
    <w:rsid w:val="00B07A3E"/>
    <w:rsid w:val="00B16727"/>
    <w:rsid w:val="00B268D8"/>
    <w:rsid w:val="00B33155"/>
    <w:rsid w:val="00B453C1"/>
    <w:rsid w:val="00B563C5"/>
    <w:rsid w:val="00B56BF6"/>
    <w:rsid w:val="00B6118B"/>
    <w:rsid w:val="00B63ACE"/>
    <w:rsid w:val="00B75E31"/>
    <w:rsid w:val="00B8083E"/>
    <w:rsid w:val="00B80E03"/>
    <w:rsid w:val="00B812FE"/>
    <w:rsid w:val="00B81562"/>
    <w:rsid w:val="00B86EC9"/>
    <w:rsid w:val="00B91912"/>
    <w:rsid w:val="00B96C93"/>
    <w:rsid w:val="00BA77CD"/>
    <w:rsid w:val="00BC4952"/>
    <w:rsid w:val="00BC53E9"/>
    <w:rsid w:val="00BD0726"/>
    <w:rsid w:val="00BD1283"/>
    <w:rsid w:val="00BE1A1E"/>
    <w:rsid w:val="00BE22C2"/>
    <w:rsid w:val="00BE4386"/>
    <w:rsid w:val="00BE74BB"/>
    <w:rsid w:val="00BF08F1"/>
    <w:rsid w:val="00C004CD"/>
    <w:rsid w:val="00C00B3E"/>
    <w:rsid w:val="00C039B7"/>
    <w:rsid w:val="00C1290F"/>
    <w:rsid w:val="00C17958"/>
    <w:rsid w:val="00C17CAA"/>
    <w:rsid w:val="00C20D2B"/>
    <w:rsid w:val="00C25B6B"/>
    <w:rsid w:val="00C312C1"/>
    <w:rsid w:val="00C351BF"/>
    <w:rsid w:val="00C37D1C"/>
    <w:rsid w:val="00C436CC"/>
    <w:rsid w:val="00C50867"/>
    <w:rsid w:val="00C7160B"/>
    <w:rsid w:val="00C7186D"/>
    <w:rsid w:val="00C77B4A"/>
    <w:rsid w:val="00C8371B"/>
    <w:rsid w:val="00C9568E"/>
    <w:rsid w:val="00CA03C6"/>
    <w:rsid w:val="00CA68D0"/>
    <w:rsid w:val="00CB19D5"/>
    <w:rsid w:val="00CC7207"/>
    <w:rsid w:val="00CE3F1D"/>
    <w:rsid w:val="00D03652"/>
    <w:rsid w:val="00D0431A"/>
    <w:rsid w:val="00D04750"/>
    <w:rsid w:val="00D14D04"/>
    <w:rsid w:val="00D34571"/>
    <w:rsid w:val="00D35A6A"/>
    <w:rsid w:val="00D366A7"/>
    <w:rsid w:val="00D426A6"/>
    <w:rsid w:val="00D44EE1"/>
    <w:rsid w:val="00D4640F"/>
    <w:rsid w:val="00D47B3E"/>
    <w:rsid w:val="00D50F5E"/>
    <w:rsid w:val="00D5206B"/>
    <w:rsid w:val="00D56185"/>
    <w:rsid w:val="00D57EA3"/>
    <w:rsid w:val="00D70162"/>
    <w:rsid w:val="00D72109"/>
    <w:rsid w:val="00D75849"/>
    <w:rsid w:val="00D775B3"/>
    <w:rsid w:val="00D77642"/>
    <w:rsid w:val="00D8100B"/>
    <w:rsid w:val="00D9763F"/>
    <w:rsid w:val="00D97AFA"/>
    <w:rsid w:val="00DA0B03"/>
    <w:rsid w:val="00DA2D82"/>
    <w:rsid w:val="00DA3F1B"/>
    <w:rsid w:val="00DB2D17"/>
    <w:rsid w:val="00DD1D89"/>
    <w:rsid w:val="00DD7170"/>
    <w:rsid w:val="00DE0C9B"/>
    <w:rsid w:val="00DE750C"/>
    <w:rsid w:val="00DF1BD9"/>
    <w:rsid w:val="00DF290F"/>
    <w:rsid w:val="00DF463F"/>
    <w:rsid w:val="00DF6E9F"/>
    <w:rsid w:val="00E069DF"/>
    <w:rsid w:val="00E06E40"/>
    <w:rsid w:val="00E13246"/>
    <w:rsid w:val="00E149E1"/>
    <w:rsid w:val="00E229FD"/>
    <w:rsid w:val="00E22AB7"/>
    <w:rsid w:val="00E24DA3"/>
    <w:rsid w:val="00E33846"/>
    <w:rsid w:val="00E429D7"/>
    <w:rsid w:val="00E46FB5"/>
    <w:rsid w:val="00E47720"/>
    <w:rsid w:val="00E578D5"/>
    <w:rsid w:val="00E63084"/>
    <w:rsid w:val="00E7292D"/>
    <w:rsid w:val="00E807A1"/>
    <w:rsid w:val="00E840E9"/>
    <w:rsid w:val="00E8419D"/>
    <w:rsid w:val="00E85FDF"/>
    <w:rsid w:val="00E87810"/>
    <w:rsid w:val="00E91D09"/>
    <w:rsid w:val="00E9445A"/>
    <w:rsid w:val="00E96D03"/>
    <w:rsid w:val="00E97142"/>
    <w:rsid w:val="00E978C7"/>
    <w:rsid w:val="00EA1477"/>
    <w:rsid w:val="00EA615F"/>
    <w:rsid w:val="00EB0DD6"/>
    <w:rsid w:val="00EB29E4"/>
    <w:rsid w:val="00EB2ACA"/>
    <w:rsid w:val="00ED1DBF"/>
    <w:rsid w:val="00EE55A4"/>
    <w:rsid w:val="00EF2DCF"/>
    <w:rsid w:val="00F0143A"/>
    <w:rsid w:val="00F14E08"/>
    <w:rsid w:val="00F17BB4"/>
    <w:rsid w:val="00F368C7"/>
    <w:rsid w:val="00F40CA2"/>
    <w:rsid w:val="00F41A34"/>
    <w:rsid w:val="00F43940"/>
    <w:rsid w:val="00F45E1C"/>
    <w:rsid w:val="00F513F4"/>
    <w:rsid w:val="00F53228"/>
    <w:rsid w:val="00F5697B"/>
    <w:rsid w:val="00F619E3"/>
    <w:rsid w:val="00F62199"/>
    <w:rsid w:val="00F71F5F"/>
    <w:rsid w:val="00F80B86"/>
    <w:rsid w:val="00F812F8"/>
    <w:rsid w:val="00F87B14"/>
    <w:rsid w:val="00F90820"/>
    <w:rsid w:val="00FA4268"/>
    <w:rsid w:val="00FB7731"/>
    <w:rsid w:val="00FD4BBD"/>
    <w:rsid w:val="00FD511A"/>
    <w:rsid w:val="00FF7BCB"/>
    <w:rsid w:val="3D64F4BF"/>
    <w:rsid w:val="558F0D39"/>
    <w:rsid w:val="5A5FD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0C363"/>
  <w15:chartTrackingRefBased/>
  <w15:docId w15:val="{1B43B420-7D8B-43B9-B12B-C92BC764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080"/>
    </w:pPr>
    <w:rPr>
      <w:i/>
      <w:iCs/>
    </w:rPr>
  </w:style>
  <w:style w:type="paragraph" w:styleId="BodyTextIndent3">
    <w:name w:val="Body Text Indent 3"/>
    <w:basedOn w:val="Normal"/>
    <w:pPr>
      <w:ind w:left="108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735A2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147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63C5"/>
    <w:pPr>
      <w:ind w:left="720"/>
      <w:contextualSpacing/>
    </w:pPr>
  </w:style>
  <w:style w:type="table" w:styleId="TableGrid">
    <w:name w:val="Table Grid"/>
    <w:basedOn w:val="TableNormal"/>
    <w:rsid w:val="0030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A77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-state.edu/sasw/addiction-counseling/academic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rylcalhoun@k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app.powerbi.com/MobileRedirect.html?action=OpenReport&amp;reportObjectId=3d8f5a1c-bb44-4da7-b8a2-03ad8f5b03f2&amp;ctid=d9a2fa71-d67d-4cb6-b541-06ccaa8013fb&amp;reportPage=ReportSection418811a348c99508e6cd&amp;pbi_source=copyvisualimage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Mastery (EE or ME) Outcome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Sheet1!$A$38:$A$42</c:f>
              <c:strCache>
                <c:ptCount val="5"/>
                <c:pt idx="0">
                  <c:v>5. Academic and professional integrity</c:v>
                </c:pt>
                <c:pt idx="1">
                  <c:v>4. Diversity</c:v>
                </c:pt>
                <c:pt idx="2">
                  <c:v>3. Communication</c:v>
                </c:pt>
                <c:pt idx="3">
                  <c:v>2. Critical thinking</c:v>
                </c:pt>
                <c:pt idx="4">
                  <c:v>1. Knowledge</c:v>
                </c:pt>
              </c:strCache>
            </c:strRef>
          </c:cat>
          <c:val>
            <c:numRef>
              <c:f>Sheet1!$D$38:$D$42</c:f>
              <c:numCache>
                <c:formatCode>0%</c:formatCode>
                <c:ptCount val="5"/>
                <c:pt idx="0">
                  <c:v>0.98</c:v>
                </c:pt>
                <c:pt idx="1">
                  <c:v>0.92</c:v>
                </c:pt>
                <c:pt idx="2">
                  <c:v>0.76</c:v>
                </c:pt>
                <c:pt idx="3">
                  <c:v>0.81</c:v>
                </c:pt>
                <c:pt idx="4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93-4F70-8768-35B764B719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07180144"/>
        <c:axId val="60570800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Sheet1!$A$38:$A$42</c15:sqref>
                        </c15:formulaRef>
                      </c:ext>
                    </c:extLst>
                    <c:strCache>
                      <c:ptCount val="5"/>
                      <c:pt idx="0">
                        <c:v>5. Academic and professional integrity</c:v>
                      </c:pt>
                      <c:pt idx="1">
                        <c:v>4. Diversity</c:v>
                      </c:pt>
                      <c:pt idx="2">
                        <c:v>3. Communication</c:v>
                      </c:pt>
                      <c:pt idx="3">
                        <c:v>2. Critical thinking</c:v>
                      </c:pt>
                      <c:pt idx="4">
                        <c:v>1. Knowledge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Sheet1!$B$38:$B$42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8593-4F70-8768-35B764B719D3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Sheet1!$A$38:$A$42</c15:sqref>
                        </c15:formulaRef>
                      </c:ext>
                    </c:extLst>
                    <c:strCache>
                      <c:ptCount val="5"/>
                      <c:pt idx="0">
                        <c:v>5. Academic and professional integrity</c:v>
                      </c:pt>
                      <c:pt idx="1">
                        <c:v>4. Diversity</c:v>
                      </c:pt>
                      <c:pt idx="2">
                        <c:v>3. Communication</c:v>
                      </c:pt>
                      <c:pt idx="3">
                        <c:v>2. Critical thinking</c:v>
                      </c:pt>
                      <c:pt idx="4">
                        <c:v>1. Knowledge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Sheet1!$C$38:$C$42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8593-4F70-8768-35B764B719D3}"/>
                  </c:ext>
                </c:extLst>
              </c15:ser>
            </c15:filteredBarSeries>
          </c:ext>
        </c:extLst>
      </c:barChart>
      <c:catAx>
        <c:axId val="807180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5708000"/>
        <c:crosses val="autoZero"/>
        <c:auto val="1"/>
        <c:lblAlgn val="ctr"/>
        <c:lblOffset val="100"/>
        <c:noMultiLvlLbl val="0"/>
      </c:catAx>
      <c:valAx>
        <c:axId val="60570800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718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1055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</vt:lpstr>
    </vt:vector>
  </TitlesOfParts>
  <Company>PASS - KSU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</dc:title>
  <dc:subject/>
  <dc:creator>Patricia Marsh</dc:creator>
  <cp:keywords/>
  <dc:description/>
  <cp:lastModifiedBy>Cheryl Calhoun</cp:lastModifiedBy>
  <cp:revision>183</cp:revision>
  <cp:lastPrinted>2023-09-28T14:00:00Z</cp:lastPrinted>
  <dcterms:created xsi:type="dcterms:W3CDTF">2024-08-03T19:36:00Z</dcterms:created>
  <dcterms:modified xsi:type="dcterms:W3CDTF">2024-09-26T15:06:00Z</dcterms:modified>
</cp:coreProperties>
</file>